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5A0" w:firstRow="1" w:lastRow="0" w:firstColumn="1" w:lastColumn="1" w:noHBand="0" w:noVBand="1"/>
      </w:tblPr>
      <w:tblGrid>
        <w:gridCol w:w="1593"/>
        <w:gridCol w:w="109"/>
        <w:gridCol w:w="6797"/>
        <w:gridCol w:w="1841"/>
        <w:gridCol w:w="1847"/>
        <w:gridCol w:w="1805"/>
      </w:tblGrid>
      <w:tr w:rsidR="000D39CB" w:rsidRPr="000D39CB" w:rsidTr="00790290">
        <w:trPr>
          <w:trHeight w:val="435"/>
        </w:trPr>
        <w:tc>
          <w:tcPr>
            <w:tcW w:w="608" w:type="pct"/>
            <w:gridSpan w:val="2"/>
            <w:vMerge w:val="restart"/>
            <w:shd w:val="clear" w:color="auto" w:fill="5B9BD5" w:themeFill="accent1"/>
            <w:vAlign w:val="center"/>
            <w:hideMark/>
          </w:tcPr>
          <w:p w:rsidR="000D39CB" w:rsidRPr="000D39CB" w:rsidRDefault="000D39CB" w:rsidP="00AF534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D39C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Veza sa prioritetom i mjerom</w:t>
            </w:r>
          </w:p>
        </w:tc>
        <w:tc>
          <w:tcPr>
            <w:tcW w:w="2429" w:type="pct"/>
            <w:vMerge w:val="restart"/>
            <w:shd w:val="clear" w:color="auto" w:fill="5B9BD5" w:themeFill="accent1"/>
            <w:vAlign w:val="center"/>
            <w:hideMark/>
          </w:tcPr>
          <w:p w:rsidR="000D39CB" w:rsidRPr="000D39CB" w:rsidRDefault="000D39CB" w:rsidP="000D39C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D39C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Projekat </w:t>
            </w:r>
          </w:p>
        </w:tc>
        <w:tc>
          <w:tcPr>
            <w:tcW w:w="1963" w:type="pct"/>
            <w:gridSpan w:val="3"/>
            <w:shd w:val="clear" w:color="auto" w:fill="5B9BD5" w:themeFill="accent1"/>
            <w:vAlign w:val="center"/>
            <w:hideMark/>
          </w:tcPr>
          <w:p w:rsidR="000D39CB" w:rsidRPr="000D39CB" w:rsidRDefault="000D39CB" w:rsidP="000D39C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D39C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Izvori finansiranja</w:t>
            </w:r>
          </w:p>
        </w:tc>
      </w:tr>
      <w:tr w:rsidR="000D39CB" w:rsidRPr="000D39CB" w:rsidTr="00486D5E">
        <w:trPr>
          <w:trHeight w:val="285"/>
        </w:trPr>
        <w:tc>
          <w:tcPr>
            <w:tcW w:w="608" w:type="pct"/>
            <w:gridSpan w:val="2"/>
            <w:vMerge/>
            <w:shd w:val="clear" w:color="auto" w:fill="5B9BD5" w:themeFill="accent1"/>
            <w:vAlign w:val="center"/>
            <w:hideMark/>
          </w:tcPr>
          <w:p w:rsidR="000D39CB" w:rsidRPr="000D39CB" w:rsidRDefault="000D39CB" w:rsidP="000D39CB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vMerge/>
            <w:shd w:val="clear" w:color="auto" w:fill="5B9BD5" w:themeFill="accent1"/>
            <w:vAlign w:val="center"/>
            <w:hideMark/>
          </w:tcPr>
          <w:p w:rsidR="000D39CB" w:rsidRPr="000D39CB" w:rsidRDefault="000D39CB" w:rsidP="000D39CB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8" w:type="pct"/>
            <w:shd w:val="clear" w:color="auto" w:fill="5B9BD5" w:themeFill="accent1"/>
            <w:vAlign w:val="center"/>
            <w:hideMark/>
          </w:tcPr>
          <w:p w:rsidR="000D39CB" w:rsidRDefault="000D39CB" w:rsidP="00486D5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D39C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GB"/>
              </w:rPr>
              <w:t>Budžet</w:t>
            </w:r>
          </w:p>
          <w:p w:rsidR="00486D5E" w:rsidRPr="000D39CB" w:rsidRDefault="00486D5E" w:rsidP="00486D5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0" w:type="pct"/>
            <w:shd w:val="clear" w:color="auto" w:fill="5B9BD5" w:themeFill="accent1"/>
            <w:vAlign w:val="center"/>
            <w:hideMark/>
          </w:tcPr>
          <w:p w:rsidR="000D39CB" w:rsidRDefault="000D39CB" w:rsidP="00486D5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D39C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GB"/>
              </w:rPr>
              <w:t>Eksterni izvori</w:t>
            </w:r>
          </w:p>
          <w:p w:rsidR="00486D5E" w:rsidRPr="000D39CB" w:rsidRDefault="00486D5E" w:rsidP="00486D5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5" w:type="pct"/>
            <w:shd w:val="clear" w:color="auto" w:fill="5B9BD5" w:themeFill="accent1"/>
            <w:vAlign w:val="center"/>
            <w:hideMark/>
          </w:tcPr>
          <w:p w:rsidR="00486D5E" w:rsidRDefault="000D39CB" w:rsidP="00486D5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D39C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Ukupno</w:t>
            </w:r>
          </w:p>
          <w:p w:rsidR="00486D5E" w:rsidRPr="000D39CB" w:rsidRDefault="00486D5E" w:rsidP="00486D5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D39CB" w:rsidRPr="000D39CB" w:rsidTr="00486D5E">
        <w:trPr>
          <w:trHeight w:val="409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  <w:hideMark/>
          </w:tcPr>
          <w:p w:rsidR="000D39CB" w:rsidRPr="00681F87" w:rsidRDefault="000D39CB" w:rsidP="0094486C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81F8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STRATEŠKI CILJ: </w:t>
            </w:r>
            <w:r w:rsidR="00A237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94486C" w:rsidRPr="0094486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Razvijen ekonomski sektor usmjeren na ključne privredne grane, komparativne i prirodne prednosti grada koji omogućava rast poslovne aktivnosti i zadovoljsvo radne snage</w:t>
            </w:r>
          </w:p>
        </w:tc>
      </w:tr>
      <w:tr w:rsidR="00786B41" w:rsidRPr="000D39CB" w:rsidTr="00790290">
        <w:trPr>
          <w:trHeight w:val="340"/>
        </w:trPr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786B41" w:rsidRPr="00DE62D1" w:rsidRDefault="00DE62D1" w:rsidP="00DE62D1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Prioritet</w:t>
            </w:r>
          </w:p>
        </w:tc>
        <w:tc>
          <w:tcPr>
            <w:tcW w:w="4392" w:type="pct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786B41" w:rsidRPr="003C5E8B" w:rsidRDefault="003C5E8B" w:rsidP="003C5E8B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1.1. </w:t>
            </w:r>
            <w:r w:rsidRPr="003C5E8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Unaprijediti poslovno okruženje za proizvodnju i poduzetništvo</w:t>
            </w:r>
            <w:r w:rsidR="0086200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, poljoprivredu i turizam</w:t>
            </w:r>
          </w:p>
        </w:tc>
      </w:tr>
      <w:tr w:rsidR="001D6C94" w:rsidRPr="000D39CB" w:rsidTr="00790290">
        <w:trPr>
          <w:trHeight w:val="283"/>
        </w:trPr>
        <w:tc>
          <w:tcPr>
            <w:tcW w:w="608" w:type="pct"/>
            <w:gridSpan w:val="2"/>
            <w:vMerge w:val="restart"/>
            <w:tcBorders>
              <w:top w:val="single" w:sz="4" w:space="0" w:color="auto"/>
            </w:tcBorders>
            <w:shd w:val="clear" w:color="000000" w:fill="DEEAF6"/>
            <w:vAlign w:val="center"/>
          </w:tcPr>
          <w:p w:rsidR="001D6C94" w:rsidRPr="000D39CB" w:rsidRDefault="00DE62D1" w:rsidP="00AA21A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1.1.1. Mjera </w:t>
            </w:r>
          </w:p>
        </w:tc>
        <w:tc>
          <w:tcPr>
            <w:tcW w:w="4392" w:type="pct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D6C94" w:rsidRPr="000D39CB" w:rsidRDefault="00DE62D1" w:rsidP="003C5E8B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1.1.1.</w:t>
            </w:r>
            <w:r w:rsidR="00C6129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3C5E8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Podrška poslovanju, razvoju privredne infrastrukture i novim tehnologijama </w:t>
            </w:r>
          </w:p>
        </w:tc>
      </w:tr>
      <w:tr w:rsidR="00773395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773395" w:rsidRPr="000D39CB" w:rsidRDefault="00773395" w:rsidP="0077339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395" w:rsidRPr="005C3EC5" w:rsidRDefault="00220281" w:rsidP="007733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1.1.1.1. </w:t>
            </w:r>
            <w:r w:rsidR="00114F7D" w:rsidRPr="00220281">
              <w:rPr>
                <w:rFonts w:ascii="Calibri" w:eastAsia="Calibri" w:hAnsi="Calibri" w:cs="Calibri"/>
                <w:b/>
                <w:i/>
                <w:sz w:val="20"/>
                <w:szCs w:val="20"/>
                <w:lang w:eastAsia="zh-CN"/>
              </w:rPr>
              <w:t>S.P.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 </w:t>
            </w:r>
            <w:r w:rsidR="00FD12EC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Uspostavljanje </w:t>
            </w:r>
            <w:r w:rsidR="00FD12EC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 i izgradnja nove poslovne-poduzetničke zone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395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3395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773395" w:rsidRDefault="00787A6B" w:rsidP="007733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1.000.000</w:t>
            </w:r>
          </w:p>
        </w:tc>
      </w:tr>
      <w:tr w:rsidR="00220281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220281" w:rsidRPr="000D39CB" w:rsidRDefault="00220281" w:rsidP="0077339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281" w:rsidRDefault="00220281" w:rsidP="007733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1.1.1.2. </w:t>
            </w:r>
            <w:r w:rsidRPr="00220281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Unaprijeđenje postojećih industrijskih zona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281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281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220281" w:rsidRDefault="00787A6B" w:rsidP="007733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D12EC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FD12EC" w:rsidRPr="000D39CB" w:rsidRDefault="00FD12EC" w:rsidP="0077339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EC" w:rsidRDefault="00A25265" w:rsidP="007733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1.1.1.3. </w:t>
            </w:r>
            <w:r w:rsidR="0097291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Institut </w:t>
            </w:r>
            <w:r w:rsidR="00FD12EC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za razvoj tehn</w:t>
            </w:r>
            <w:r w:rsidR="000B0C2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o</w:t>
            </w:r>
            <w:r w:rsidR="00FD12EC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logija i inovacije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</w:tr>
      <w:tr w:rsidR="00FD12EC" w:rsidRPr="000D39CB" w:rsidTr="00486D5E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FD12EC" w:rsidRPr="000D39CB" w:rsidRDefault="00FD12EC" w:rsidP="0077339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EC" w:rsidRPr="00521478" w:rsidRDefault="00A25265" w:rsidP="007733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1.1.1.4. </w:t>
            </w:r>
            <w:r w:rsidR="00FD12EC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Goražde-slobodna ekonomska zona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10.000</w:t>
            </w:r>
          </w:p>
        </w:tc>
      </w:tr>
      <w:tr w:rsidR="00FD12EC" w:rsidRPr="000D39CB" w:rsidTr="00486D5E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FD12EC" w:rsidRPr="000D39CB" w:rsidRDefault="00FD12EC" w:rsidP="0077339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EC" w:rsidRDefault="00A25265" w:rsidP="007733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1.1.1.5. </w:t>
            </w:r>
            <w:r w:rsidRPr="0097291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Osiguranje povoljnih kreditnih linija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(</w:t>
            </w:r>
            <w:r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Redefinisanje komisiona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77339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D12EC" w:rsidRDefault="00787A6B" w:rsidP="00486D5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250.000</w:t>
            </w:r>
          </w:p>
        </w:tc>
      </w:tr>
      <w:tr w:rsidR="00FD12EC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FD12EC" w:rsidRPr="000D39CB" w:rsidRDefault="00FD12EC" w:rsidP="00FD12EC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EC" w:rsidRPr="005C3EC5" w:rsidRDefault="00A25265" w:rsidP="00FD1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1.1.1.6. </w:t>
            </w:r>
            <w:r w:rsidR="00FD12EC" w:rsidRPr="00291FEE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Podrška za start up poduzetništvo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FD12EC" w:rsidP="00FD12E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FD12EC" w:rsidP="00FD12E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FD12EC" w:rsidRDefault="005806D3" w:rsidP="00FD12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="00FD12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0.000</w:t>
            </w:r>
          </w:p>
        </w:tc>
      </w:tr>
      <w:tr w:rsidR="00FD12EC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FD12EC" w:rsidRPr="000D39CB" w:rsidRDefault="00FD12EC" w:rsidP="00FD12EC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EC" w:rsidRPr="005C3EC5" w:rsidRDefault="005207A7" w:rsidP="00FD12E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1.1.1.7</w:t>
            </w:r>
            <w:r w:rsidR="00A25265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 </w:t>
            </w:r>
            <w:r w:rsidR="00A25265" w:rsidRPr="0097291D">
              <w:rPr>
                <w:rFonts w:ascii="Calibri" w:eastAsia="Calibri" w:hAnsi="Calibri" w:cs="Calibri"/>
                <w:i/>
                <w:sz w:val="20"/>
                <w:szCs w:val="20"/>
              </w:rPr>
              <w:t>Podrška sajmovima privrednog karaktera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FD12E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12EC" w:rsidRDefault="00787A6B" w:rsidP="00FD12E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FD12EC" w:rsidRDefault="00787A6B" w:rsidP="00FD12E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30.000</w:t>
            </w:r>
          </w:p>
        </w:tc>
      </w:tr>
      <w:tr w:rsidR="00FD12EC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extDirection w:val="btLr"/>
            <w:vAlign w:val="center"/>
          </w:tcPr>
          <w:p w:rsidR="00FD12EC" w:rsidRPr="000D39CB" w:rsidRDefault="00FD12EC" w:rsidP="00FD12EC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D12EC" w:rsidRPr="000D39CB" w:rsidRDefault="005207A7" w:rsidP="00FD12EC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1.1.1.8</w:t>
            </w:r>
            <w:r w:rsidR="00A25265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</w:t>
            </w:r>
            <w:r w:rsidR="008C6DA4">
              <w:rPr>
                <w:rFonts w:ascii="Calibri" w:eastAsia="Calibri" w:hAnsi="Calibri" w:cs="Calibri"/>
                <w:i/>
                <w:sz w:val="20"/>
                <w:szCs w:val="20"/>
              </w:rPr>
              <w:t>Podrška radu privrednih udruženjima</w:t>
            </w:r>
            <w:r w:rsidR="00E02446" w:rsidRPr="00E02446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 radu Biznis centra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FD12EC" w:rsidRPr="000D39CB" w:rsidRDefault="00787A6B" w:rsidP="00FD12E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36.000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FD12EC" w:rsidRPr="000D39CB" w:rsidRDefault="00787A6B" w:rsidP="00FD12E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95B3D7"/>
            <w:vAlign w:val="center"/>
          </w:tcPr>
          <w:p w:rsidR="00FD12EC" w:rsidRPr="000D39CB" w:rsidRDefault="00787A6B" w:rsidP="00FD12E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  <w:r w:rsidR="00E0244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.000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F73EFD" w:rsidRPr="000D39CB" w:rsidRDefault="00F73EFD" w:rsidP="00E0244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1.1.2. Mjera</w:t>
            </w:r>
          </w:p>
        </w:tc>
        <w:tc>
          <w:tcPr>
            <w:tcW w:w="4392" w:type="pct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73EFD" w:rsidRDefault="00F73EFD" w:rsidP="00E0244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1.1.2. Osiguranje saradnje i podrške poslovnoj zajednici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A2526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F73EFD" w:rsidP="00A25265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1.1.2.1. </w:t>
            </w:r>
            <w:r w:rsidRPr="00D063DA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Uspostava i ažuriranje Portala imovine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F73EFD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1.000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A2526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D063DA" w:rsidRDefault="00F73EFD" w:rsidP="00A25265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1.1.2.2. Izrada Vodič</w:t>
            </w:r>
            <w:r w:rsidRPr="00D063DA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a za investitore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1.500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F73EFD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2.500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A2526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F73EFD" w:rsidP="00A25265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1.1.2.3. Privredni savjet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A25265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5207A7" w:rsidP="00A25265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1.1.2.4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 </w:t>
            </w:r>
            <w:r w:rsidR="00F73EFD" w:rsidRPr="00291FEE">
              <w:rPr>
                <w:rFonts w:ascii="Calibri" w:eastAsia="Calibri" w:hAnsi="Calibri" w:cs="Calibri"/>
                <w:i/>
                <w:sz w:val="20"/>
                <w:szCs w:val="20"/>
              </w:rPr>
              <w:t>Vođenje i promocija Registra e-dijaspora-baza za umrežavanje dijaspore sa Gradom Goražde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787A6B" w:rsidP="00A2526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1.1.2.5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</w:t>
            </w:r>
            <w:r w:rsidR="00F73EFD" w:rsidRPr="00291FEE">
              <w:rPr>
                <w:rFonts w:ascii="Calibri" w:eastAsia="Calibri" w:hAnsi="Calibri" w:cs="Calibri"/>
                <w:i/>
                <w:sz w:val="20"/>
                <w:szCs w:val="20"/>
              </w:rPr>
              <w:t>Lokalni dijasporski investicijski fond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  <w:r w:rsidR="00F73EF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0.000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1.1.2.6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</w:t>
            </w:r>
            <w:r w:rsidR="00F73EFD" w:rsidRPr="00291FE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Uspostava i ažuriranje stranice/podstranice gorazdeinvest.ba 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F73EF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1.1.2.7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</w:t>
            </w:r>
            <w:r w:rsidR="00F73EFD" w:rsidRPr="00291FEE">
              <w:rPr>
                <w:rFonts w:ascii="Calibri" w:eastAsia="Calibri" w:hAnsi="Calibri" w:cs="Calibri"/>
                <w:i/>
                <w:sz w:val="20"/>
                <w:szCs w:val="20"/>
              </w:rPr>
              <w:t>Organizacija biznis foruma (dijaspora)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171DC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F73EF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30.000</w:t>
            </w:r>
          </w:p>
        </w:tc>
      </w:tr>
      <w:tr w:rsidR="00F73EFD" w:rsidRPr="000D39CB" w:rsidTr="00CC40A3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Pr="00C962FB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1.1.2.8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</w:t>
            </w:r>
            <w:r w:rsidR="00F73EFD" w:rsidRPr="00291FEE">
              <w:rPr>
                <w:rFonts w:ascii="Calibri" w:eastAsia="Calibri" w:hAnsi="Calibri" w:cs="Calibri"/>
                <w:i/>
                <w:sz w:val="20"/>
                <w:szCs w:val="20"/>
              </w:rPr>
              <w:t>Projekat tehničke i marketinške podrške kompanijama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10.00</w:t>
            </w:r>
            <w:r w:rsidR="00F73EF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73EFD" w:rsidRPr="000D39CB" w:rsidTr="00F73EFD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vAlign w:val="center"/>
          </w:tcPr>
          <w:p w:rsidR="00F73EFD" w:rsidRPr="000D39CB" w:rsidRDefault="00F73EFD" w:rsidP="00F73EF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1.1.2.9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 w:rsidR="00F73EFD" w:rsidRPr="00291FE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Upostavljanje baze podataka o MSP i poduzetnicima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73EFD" w:rsidRPr="000D39CB" w:rsidTr="006D7821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1.1.2.10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>. Implementacija Lokalnog akcionog plana zapošljavanja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50.000</w:t>
            </w:r>
          </w:p>
        </w:tc>
      </w:tr>
      <w:tr w:rsidR="00F73EFD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F73EFD" w:rsidRPr="000D39CB" w:rsidRDefault="00F73EFD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73EFD" w:rsidRDefault="005207A7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1.1.2.11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</w:rPr>
              <w:t>. Radničke sportske igre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73EFD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16.000</w:t>
            </w:r>
          </w:p>
        </w:tc>
      </w:tr>
      <w:tr w:rsidR="004559CF" w:rsidRPr="000D39CB" w:rsidTr="00790290">
        <w:trPr>
          <w:trHeight w:val="283"/>
        </w:trPr>
        <w:tc>
          <w:tcPr>
            <w:tcW w:w="608" w:type="pct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4559CF" w:rsidRPr="000D39CB" w:rsidRDefault="0086200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lastRenderedPageBreak/>
              <w:t>1.1.3</w:t>
            </w:r>
            <w:r w:rsidR="004559C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. Mjera</w:t>
            </w:r>
          </w:p>
        </w:tc>
        <w:tc>
          <w:tcPr>
            <w:tcW w:w="43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559CF" w:rsidRPr="000D39CB" w:rsidRDefault="0086200A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1.1.3</w:t>
            </w:r>
            <w:r w:rsidR="004559C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Osiguranje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pretpostavki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razvoj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turizma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poljoprivredne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proizvodnje</w:t>
            </w:r>
            <w:proofErr w:type="spellEnd"/>
          </w:p>
        </w:tc>
      </w:tr>
      <w:tr w:rsidR="004559CF" w:rsidRPr="000D39CB" w:rsidTr="00790290">
        <w:trPr>
          <w:cantSplit/>
          <w:trHeight w:val="283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4559CF" w:rsidRPr="000D39CB" w:rsidRDefault="004559CF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559CF" w:rsidRDefault="0086200A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</w:t>
            </w:r>
            <w:r w:rsidR="00D557D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.1. 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Studija </w:t>
            </w:r>
            <w:r w:rsidR="004559CF" w:rsidRPr="00C657D7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korištenja 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potencijala </w:t>
            </w:r>
            <w:r w:rsidR="004559CF" w:rsidRPr="00C657D7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Rijeke Drine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 (DRINA I BIODIVERZITET)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4559CF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4559CF" w:rsidRPr="000D39CB" w:rsidRDefault="004559CF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559CF" w:rsidRDefault="0086200A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</w:t>
            </w:r>
            <w:r w:rsidR="00100624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.3</w:t>
            </w:r>
            <w:r w:rsidR="00D557D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.2. 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P</w:t>
            </w:r>
            <w:r w:rsidR="004559CF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rojek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tna i investiciono</w:t>
            </w:r>
            <w:r w:rsidR="000E634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 tehnička dokumentacija</w:t>
            </w:r>
            <w:r w:rsidR="004559CF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 iskorištavanja vode za kupanje i 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rekreativne aktivnosti (turistička atrakcija)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4559CF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50.000</w:t>
            </w:r>
          </w:p>
        </w:tc>
      </w:tr>
      <w:tr w:rsidR="00AB68A9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AB68A9" w:rsidRPr="000D39CB" w:rsidRDefault="00AB68A9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68A9" w:rsidRDefault="00100624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</w:t>
            </w:r>
            <w:r w:rsidR="00AB68A9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.3. Katalog kulturno-historijskih znamenitosti kao osnov uvezivanja sa širim turističkim sadržajima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AB68A9" w:rsidRPr="000D39CB" w:rsidRDefault="005927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4559CF" w:rsidRPr="000D39CB" w:rsidRDefault="004559CF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559CF" w:rsidRDefault="00100624" w:rsidP="00D557D3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</w:t>
            </w:r>
            <w:r w:rsidR="00AB68A9" w:rsidRPr="00F73EF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.4</w:t>
            </w:r>
            <w:r w:rsidR="00D557D3" w:rsidRPr="00F73EF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</w:t>
            </w:r>
            <w:r w:rsidR="00D557D3">
              <w:rPr>
                <w:rFonts w:ascii="Calibri" w:eastAsia="Calibri" w:hAnsi="Calibri" w:cs="Calibri"/>
                <w:b/>
                <w:i/>
                <w:sz w:val="20"/>
                <w:szCs w:val="20"/>
                <w:lang w:eastAsia="zh-CN"/>
              </w:rPr>
              <w:t xml:space="preserve"> 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Kreiranje turističkih </w:t>
            </w:r>
            <w:r w:rsidR="00D557D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pretpostavki, 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proizvoda i sadržaja </w:t>
            </w:r>
            <w:r w:rsidR="00F73EFD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Goražde 2035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4559CF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</w:tr>
      <w:tr w:rsidR="00F5487B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F5487B" w:rsidRPr="000D39CB" w:rsidRDefault="00F5487B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487B" w:rsidRPr="00F5487B" w:rsidRDefault="00100624" w:rsidP="00D557D3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</w:t>
            </w:r>
            <w:r w:rsidR="00F5487B" w:rsidRPr="00F5487B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.5. 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Osnaživanje Planinarskog doma „Ruda Glava“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5487B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F5487B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F5487B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50.000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4559CF" w:rsidRPr="000D39CB" w:rsidRDefault="004559CF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559CF" w:rsidRPr="00E60EB8" w:rsidRDefault="00100624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1.1.3.</w:t>
            </w:r>
            <w:r w:rsidR="00EF0E9C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6</w:t>
            </w:r>
            <w:r w:rsidR="00D557D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 </w:t>
            </w:r>
            <w:r w:rsidR="004559CF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Poljoprivredni inkubator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4559CF" w:rsidRPr="000D39CB" w:rsidRDefault="002B116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4559CF" w:rsidRPr="000D39CB" w:rsidRDefault="004559CF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559CF" w:rsidRPr="00521478" w:rsidRDefault="00100624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</w:t>
            </w:r>
            <w:r w:rsidR="00EF0E9C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.7</w:t>
            </w:r>
            <w:r w:rsidR="004559CF" w:rsidRPr="00A522A9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 Programi unapređenja i povećanja  poljoprivredne proizvodnje</w:t>
            </w:r>
            <w:r w:rsidR="004559CF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 (Strategija ruralnog razvoja)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E6F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E6F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4559CF" w:rsidRPr="000D39CB" w:rsidRDefault="002E6F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300.000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608" w:type="pct"/>
            <w:gridSpan w:val="2"/>
            <w:vMerge/>
            <w:shd w:val="clear" w:color="auto" w:fill="D9E2F3" w:themeFill="accent5" w:themeFillTint="33"/>
            <w:textDirection w:val="btLr"/>
            <w:vAlign w:val="center"/>
          </w:tcPr>
          <w:p w:rsidR="004559CF" w:rsidRPr="000D39CB" w:rsidRDefault="004559CF" w:rsidP="004559CF">
            <w:pPr>
              <w:widowControl w:val="0"/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4559CF" w:rsidRPr="00521478" w:rsidRDefault="00100624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1.1.3</w:t>
            </w:r>
            <w:r w:rsidR="00D557D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</w:t>
            </w:r>
            <w:r w:rsidR="00EF0E9C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8</w:t>
            </w:r>
            <w:r w:rsidR="00D557D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 </w:t>
            </w:r>
            <w:r w:rsidR="004559CF" w:rsidRPr="00521478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Zelena-mala pijaca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E6F08" w:rsidP="002E6F0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4559CF" w:rsidRPr="000D39CB" w:rsidRDefault="002E6F08" w:rsidP="005806D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4559CF" w:rsidRPr="000D39CB" w:rsidRDefault="002E6F08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340.000</w:t>
            </w:r>
          </w:p>
        </w:tc>
      </w:tr>
      <w:tr w:rsidR="004559CF" w:rsidRPr="000D39CB" w:rsidTr="00790290">
        <w:trPr>
          <w:trHeight w:val="280"/>
        </w:trPr>
        <w:tc>
          <w:tcPr>
            <w:tcW w:w="3037" w:type="pct"/>
            <w:gridSpan w:val="3"/>
            <w:shd w:val="clear" w:color="auto" w:fill="ACB9CA" w:themeFill="text2" w:themeFillTint="66"/>
            <w:vAlign w:val="center"/>
          </w:tcPr>
          <w:p w:rsidR="004559CF" w:rsidRPr="00681F87" w:rsidRDefault="004559CF" w:rsidP="004559C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BROJ PROJEKATA:  </w:t>
            </w:r>
            <w:r w:rsidRPr="00681F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5207A7">
              <w:rPr>
                <w:rFonts w:ascii="Calibri" w:eastAsia="Calibri" w:hAnsi="Calibri" w:cs="Calibri"/>
                <w:b/>
                <w:sz w:val="20"/>
                <w:szCs w:val="20"/>
              </w:rPr>
              <w:t>27</w:t>
            </w:r>
            <w:r w:rsidR="00DC34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681F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     </w:t>
            </w:r>
            <w:r w:rsidRPr="00681F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UKUPNO SREDSTAVA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:rsidR="004559CF" w:rsidRPr="00D243CA" w:rsidRDefault="005806D3" w:rsidP="004559CF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1.125.500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:rsidR="004559CF" w:rsidRPr="00D243CA" w:rsidRDefault="005806D3" w:rsidP="004559CF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2.179.000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bottom"/>
          </w:tcPr>
          <w:p w:rsidR="004559CF" w:rsidRPr="00D243CA" w:rsidRDefault="005806D3" w:rsidP="004559CF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3.281.500</w:t>
            </w:r>
          </w:p>
        </w:tc>
      </w:tr>
      <w:tr w:rsidR="004559CF" w:rsidRPr="000D39CB" w:rsidTr="00790290">
        <w:trPr>
          <w:trHeight w:val="409"/>
        </w:trPr>
        <w:tc>
          <w:tcPr>
            <w:tcW w:w="5000" w:type="pct"/>
            <w:gridSpan w:val="6"/>
            <w:shd w:val="clear" w:color="auto" w:fill="FFFF00"/>
            <w:vAlign w:val="center"/>
            <w:hideMark/>
          </w:tcPr>
          <w:p w:rsidR="004559CF" w:rsidRPr="0031610E" w:rsidRDefault="004559CF" w:rsidP="004559C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/>
                <w:bCs/>
                <w:lang w:val="en-GB" w:eastAsia="en-GB"/>
              </w:rPr>
            </w:pPr>
            <w:r w:rsidRPr="0031610E">
              <w:rPr>
                <w:rFonts w:eastAsia="Calibri" w:cstheme="minorHAnsi"/>
                <w:b/>
                <w:bCs/>
                <w:lang w:val="en-GB" w:eastAsia="en-GB"/>
              </w:rPr>
              <w:t xml:space="preserve">STRATEŠKI CILJ: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Unaprijeđene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javne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usluge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,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infrastruktura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i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društveni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sadržaji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koji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povećavaju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uključenost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građana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i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kvalitetu</w:t>
            </w:r>
            <w:proofErr w:type="spellEnd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eastAsia="Calibri" w:cstheme="minorHAnsi"/>
                <w:b/>
                <w:bCs/>
                <w:lang w:val="en-GB" w:eastAsia="en-GB"/>
              </w:rPr>
              <w:t>života</w:t>
            </w:r>
            <w:proofErr w:type="spellEnd"/>
          </w:p>
        </w:tc>
      </w:tr>
      <w:tr w:rsidR="004559CF" w:rsidRPr="000D39CB" w:rsidTr="00790290">
        <w:trPr>
          <w:trHeight w:val="340"/>
        </w:trPr>
        <w:tc>
          <w:tcPr>
            <w:tcW w:w="569" w:type="pct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4559CF" w:rsidRPr="000D39CB" w:rsidRDefault="004559CF" w:rsidP="004559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 2.1.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Prioritet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            </w:t>
            </w:r>
          </w:p>
        </w:tc>
        <w:tc>
          <w:tcPr>
            <w:tcW w:w="4431" w:type="pct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4559CF" w:rsidRPr="0031610E" w:rsidRDefault="004559CF" w:rsidP="005207A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2.1.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Osigurati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uključenost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građana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kvalit</w:t>
            </w:r>
            <w:r w:rsidR="005207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et</w:t>
            </w:r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u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života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građana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svih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generacija</w:t>
            </w:r>
            <w:proofErr w:type="spellEnd"/>
          </w:p>
        </w:tc>
      </w:tr>
      <w:tr w:rsidR="004559CF" w:rsidRPr="000D39CB" w:rsidTr="00790290">
        <w:trPr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000000" w:fill="DEEAF6"/>
            <w:vAlign w:val="center"/>
          </w:tcPr>
          <w:p w:rsidR="004559CF" w:rsidRDefault="004559CF" w:rsidP="004559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2.1.1.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     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4559CF" w:rsidRPr="0031610E" w:rsidRDefault="004559CF" w:rsidP="004559C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2.1.1.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Unaprijeđenje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društvenih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djelatnosti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o</w:t>
            </w:r>
            <w:r w:rsidR="0086200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brazovanja</w:t>
            </w:r>
            <w:proofErr w:type="spellEnd"/>
            <w:r w:rsidR="004C2C4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="004C2C4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sport</w:t>
            </w:r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a</w:t>
            </w:r>
            <w:proofErr w:type="spellEnd"/>
            <w:r w:rsidR="004C2C4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C2C4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kulture</w:t>
            </w:r>
            <w:proofErr w:type="spellEnd"/>
          </w:p>
        </w:tc>
      </w:tr>
      <w:tr w:rsidR="004559CF" w:rsidRPr="000D39CB" w:rsidTr="00790290">
        <w:trPr>
          <w:cantSplit/>
          <w:trHeight w:val="283"/>
        </w:trPr>
        <w:tc>
          <w:tcPr>
            <w:tcW w:w="569" w:type="pct"/>
            <w:vMerge/>
            <w:textDirection w:val="btLr"/>
            <w:vAlign w:val="center"/>
            <w:hideMark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9CF" w:rsidRPr="005A02CA" w:rsidRDefault="000E6343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2.1.1.1. Povećanje kapaciteta predškolskog obrazovanja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606C0B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2.500</w:t>
            </w:r>
            <w:r w:rsidR="004B2BF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606C0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.6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00.000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569" w:type="pct"/>
            <w:vMerge/>
            <w:textDirection w:val="btLr"/>
            <w:vAlign w:val="center"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9CF" w:rsidRPr="005A02CA" w:rsidRDefault="00EB048A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2.1.1.2. </w:t>
            </w:r>
            <w:r w:rsidRPr="00EB048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Podrška radu obrazovnih ustanova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  <w:r w:rsidR="0092557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4559CF" w:rsidRPr="000D39CB" w:rsidTr="00790290">
        <w:trPr>
          <w:cantSplit/>
          <w:trHeight w:val="283"/>
        </w:trPr>
        <w:tc>
          <w:tcPr>
            <w:tcW w:w="569" w:type="pct"/>
            <w:vMerge/>
            <w:textDirection w:val="btLr"/>
            <w:vAlign w:val="center"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9CF" w:rsidRPr="005A02CA" w:rsidRDefault="00EB048A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2.1.1.3.</w:t>
            </w:r>
            <w:r>
              <w:t xml:space="preserve"> </w:t>
            </w:r>
            <w:r w:rsidRPr="00EB048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Stipendiranje studenta i učenika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36.000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Pr="005A02CA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36.000</w:t>
            </w:r>
          </w:p>
        </w:tc>
      </w:tr>
      <w:tr w:rsidR="004559CF" w:rsidRPr="000D39CB" w:rsidTr="00790290">
        <w:trPr>
          <w:cantSplit/>
          <w:trHeight w:val="283"/>
        </w:trPr>
        <w:tc>
          <w:tcPr>
            <w:tcW w:w="569" w:type="pct"/>
            <w:vMerge/>
            <w:textDirection w:val="btLr"/>
            <w:vAlign w:val="center"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9CF" w:rsidRPr="00F94C12" w:rsidRDefault="00AB68A9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2.1.1.4. Podrška sticanju s</w:t>
            </w:r>
            <w:r w:rsidR="00EB048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r</w:t>
            </w:r>
            <w:r w:rsidR="00EB048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učnih znanja i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vještina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Default="004B2BFC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4559CF" w:rsidRPr="000D39CB" w:rsidTr="00790290">
        <w:trPr>
          <w:cantSplit/>
          <w:trHeight w:val="34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9CF" w:rsidRPr="005A02CA" w:rsidRDefault="004C2C46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2.1.1.5</w:t>
            </w:r>
            <w:r w:rsid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AB68A9" w:rsidRPr="00AB68A9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 xml:space="preserve">S.P </w:t>
            </w:r>
            <w:r w:rsidR="00AB68A9" w:rsidRP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Goražde grad sporta-Grad Rukomet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1.350.000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1.500.000</w:t>
            </w:r>
          </w:p>
        </w:tc>
      </w:tr>
      <w:tr w:rsidR="00606C0B" w:rsidRPr="000D39CB" w:rsidTr="00790290">
        <w:trPr>
          <w:cantSplit/>
          <w:trHeight w:val="34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606C0B" w:rsidRPr="000D39CB" w:rsidRDefault="00606C0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C0B" w:rsidRDefault="00606C0B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2.1.1.6. </w:t>
            </w:r>
            <w:r w:rsidRPr="00606C0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Program podrške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sportskim ustanovama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C0B" w:rsidRDefault="00606C0B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820.000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C0B" w:rsidRDefault="00606C0B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606C0B" w:rsidRDefault="00606C0B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820.000</w:t>
            </w:r>
          </w:p>
        </w:tc>
      </w:tr>
      <w:tr w:rsidR="004559CF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9CF" w:rsidRPr="005A02CA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2.1.1.7</w:t>
            </w:r>
            <w:r w:rsid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Sanacija i rekonstrukcija Gradske dvorane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2.1.1.8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Modernizacija infrastrukture stadiona Vitkovići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400.000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BD5847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2.1.1.9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BD584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Unaprijeđenje infrastrukture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gradskog stadiona</w:t>
            </w:r>
            <w:r w:rsidR="00BD584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(dodatne tribine, rasvjeta, staze)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3.700.000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8F329A" w:rsidP="008F32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4.000.000</w:t>
            </w:r>
          </w:p>
        </w:tc>
      </w:tr>
      <w:tr w:rsidR="00EF0E9C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F0E9C" w:rsidRPr="000D39CB" w:rsidRDefault="00EF0E9C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E9C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2.1.1.10</w:t>
            </w:r>
            <w:r w:rsidR="00EF0E9C" w:rsidRPr="00EF0E9C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Biciklističko</w:t>
            </w:r>
            <w:r w:rsidR="008F329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-sportsko</w:t>
            </w:r>
            <w:r w:rsidR="00EF0E9C" w:rsidRPr="00EF0E9C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-rekreativna staza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E9C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E9C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F0E9C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100.000</w:t>
            </w:r>
          </w:p>
        </w:tc>
      </w:tr>
      <w:tr w:rsidR="004559CF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4559CF" w:rsidRPr="000D39CB" w:rsidRDefault="004559CF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9CF" w:rsidRPr="005A02CA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2.1.1.11</w:t>
            </w:r>
            <w:r w:rsid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AB68A9" w:rsidRP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Podrška programima takmičarskog, rekreativnog, školskog te sporta lica sa invaliditetom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D50982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200</w:t>
            </w:r>
            <w:r w:rsidR="008F329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59CF" w:rsidRPr="005A02CA" w:rsidRDefault="008F329A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559CF" w:rsidRPr="005A02CA" w:rsidRDefault="00D50982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200</w:t>
            </w:r>
            <w:r w:rsidR="008F329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AB68A9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2.1.1.12</w:t>
            </w:r>
            <w:r w:rsid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AB68A9" w:rsidRPr="00AB68A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Podrška programima obuka za sportske radnike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2.1.1.13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Program podrške mladim sportistima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2.1.1.14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F5487B" w:rsidRPr="00F5487B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>S.P.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</w:t>
            </w:r>
            <w:r w:rsidR="00F5487B" w:rsidRP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Internacionalni festival prijateljstva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B34F2D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600.000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2.1.1.15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Program podrške ustanovama kulture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2.200.000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2D1EF3" w:rsidP="002D1EF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2.200.000</w:t>
            </w:r>
          </w:p>
        </w:tc>
      </w:tr>
      <w:tr w:rsidR="00345677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345677" w:rsidRPr="000D39CB" w:rsidRDefault="00345677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5677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2.1.1.16</w:t>
            </w:r>
            <w:r w:rsidR="0034567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 </w:t>
            </w:r>
            <w:r w:rsidR="00345677" w:rsidRPr="0034567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Rekonstrukcija i </w:t>
            </w:r>
            <w:r w:rsidR="0034567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modernizacija infrastrukture Centra za kulturu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5677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5677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345677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450.000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2.1.1.17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F5487B" w:rsidRPr="00F5487B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>S.P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“Dani porodice”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100.000</w:t>
            </w:r>
          </w:p>
        </w:tc>
      </w:tr>
      <w:tr w:rsidR="00F5487B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F5487B" w:rsidRPr="000D39CB" w:rsidRDefault="00F5487B" w:rsidP="004559CF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87B" w:rsidRDefault="002F6E97" w:rsidP="004559CF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2.1.1.18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Podrška tradicio</w:t>
            </w:r>
            <w:r w:rsidR="000B0C2D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nalnim kuturnim manifestacijama, inoviranje sadržaja manifestacija i kreiranje novih kulturnih i gastro manifestacija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140.000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5487B" w:rsidRPr="005A02CA" w:rsidRDefault="002D1EF3" w:rsidP="004559C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150.000</w:t>
            </w:r>
          </w:p>
        </w:tc>
      </w:tr>
      <w:tr w:rsidR="00AB68A9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5A02CA" w:rsidRDefault="002F6E97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2.1.1.19</w:t>
            </w:r>
            <w:r w:rsid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AB68A9" w:rsidRPr="00D063D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Izrada idejnog projekta za nacionalni spomenik nekropola sa stećcima u Hrančićima -Goršić Polje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5A02CA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5A02CA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60.000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5A02CA" w:rsidRDefault="00AB68A9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80.000</w:t>
            </w:r>
          </w:p>
        </w:tc>
      </w:tr>
      <w:tr w:rsidR="00801A2A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801A2A" w:rsidRPr="000D39CB" w:rsidRDefault="00801A2A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A2A" w:rsidRDefault="002F6E97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2.1.1.20</w:t>
            </w:r>
            <w:r w:rsidR="00801A2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801A2A" w:rsidRPr="00F5487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Kultura iz doba Vinče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1A2A" w:rsidRPr="005A02CA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1A2A" w:rsidRPr="005A02CA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801A2A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40.000</w:t>
            </w:r>
          </w:p>
        </w:tc>
      </w:tr>
      <w:tr w:rsidR="00AB68A9" w:rsidRPr="000D39CB" w:rsidTr="006D7821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5A02CA" w:rsidRDefault="002F6E97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2.1.1.21</w:t>
            </w:r>
            <w:r w:rsidR="00EF0E9C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801A2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</w:t>
            </w:r>
            <w:r w:rsidR="00801A2A" w:rsidRPr="00801A2A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>S.P.</w:t>
            </w:r>
            <w:r w:rsidR="00801A2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Goražde grad heroj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68A9" w:rsidRPr="005A02CA" w:rsidRDefault="00F81D03" w:rsidP="00AB68A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68A9" w:rsidRPr="005A02CA" w:rsidRDefault="00F81D03" w:rsidP="00AB68A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:rsidR="00AB68A9" w:rsidRPr="005A02CA" w:rsidRDefault="00F81D03" w:rsidP="00AB68A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200.000</w:t>
            </w:r>
          </w:p>
        </w:tc>
      </w:tr>
      <w:tr w:rsidR="00AB68A9" w:rsidRPr="000D39CB" w:rsidTr="00790290">
        <w:trPr>
          <w:trHeight w:val="340"/>
        </w:trPr>
        <w:tc>
          <w:tcPr>
            <w:tcW w:w="569" w:type="pct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Pr="000F24F3" w:rsidRDefault="00AB68A9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0F24F3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2.</w:t>
            </w:r>
            <w:r w:rsidR="001D270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0F24F3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Prioritet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Default="00BE69FB" w:rsidP="000F46E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2.2</w:t>
            </w:r>
            <w:r w:rsidR="00AB68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Osigurati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kvalitetnu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transparentnu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socijalno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osjetljivu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javnu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upravu</w:t>
            </w:r>
            <w:proofErr w:type="spellEnd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436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us</w:t>
            </w:r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mjerenu</w:t>
            </w:r>
            <w:proofErr w:type="spellEnd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poslovnu</w:t>
            </w:r>
            <w:proofErr w:type="spellEnd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zajednicu</w:t>
            </w:r>
            <w:proofErr w:type="spellEnd"/>
            <w:r w:rsidR="00BA1AD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prosperitet</w:t>
            </w:r>
            <w:proofErr w:type="spellEnd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sigurnost</w:t>
            </w:r>
            <w:proofErr w:type="spellEnd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građana</w:t>
            </w:r>
            <w:proofErr w:type="spellEnd"/>
          </w:p>
        </w:tc>
      </w:tr>
      <w:tr w:rsidR="00AB68A9" w:rsidRPr="000D39CB" w:rsidTr="00790290">
        <w:trPr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B68A9" w:rsidRPr="000D39CB" w:rsidRDefault="00BE69FB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2.2</w:t>
            </w:r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.1. </w:t>
            </w:r>
            <w:proofErr w:type="spellStart"/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Default="00BE69FB" w:rsidP="005207A7">
            <w:pPr>
              <w:widowControl w:val="0"/>
              <w:spacing w:before="40" w:after="4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2.2</w:t>
            </w:r>
            <w:r w:rsidR="00AB68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.1.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Unaprijeđenje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rada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javne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uprave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usmjerene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poslovnu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zajednicu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građane</w:t>
            </w:r>
            <w:proofErr w:type="spellEnd"/>
          </w:p>
        </w:tc>
      </w:tr>
      <w:tr w:rsidR="00AB68A9" w:rsidRPr="000D39CB" w:rsidTr="008C6DA4">
        <w:trPr>
          <w:trHeight w:val="314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261628" w:rsidRDefault="007E7563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 w:rsidRPr="008C6DA4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2.2.1.1.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 xml:space="preserve"> </w:t>
            </w:r>
            <w:r w:rsidRPr="007E7563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>S.P.</w:t>
            </w:r>
            <w:r w:rsidRPr="007E7563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Digitalizacija javne uprave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200.000</w:t>
            </w:r>
          </w:p>
        </w:tc>
      </w:tr>
      <w:tr w:rsidR="008C6DA4" w:rsidRPr="000D39CB" w:rsidTr="008C6DA4">
        <w:trPr>
          <w:trHeight w:val="276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8C6DA4" w:rsidRPr="000D39CB" w:rsidRDefault="008C6DA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DA4" w:rsidRPr="008C6DA4" w:rsidRDefault="008C6DA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 w:rsidRPr="008C6DA4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2.2.1.2. Upravljanje kvalitetom javne uprave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6DA4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6DA4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8C6DA4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E7563" w:rsidRPr="000D39CB" w:rsidTr="008C6DA4">
        <w:trPr>
          <w:trHeight w:val="252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7E7563" w:rsidRPr="000D39CB" w:rsidRDefault="007E7563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63" w:rsidRPr="007E7563" w:rsidRDefault="00956C18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2.2.1.3</w:t>
            </w:r>
            <w:r w:rsidR="00997BE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997BEB" w:rsidRPr="00D063D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Virtuelna šetanja gradom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7563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7563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E7563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20.000</w:t>
            </w:r>
          </w:p>
        </w:tc>
      </w:tr>
      <w:tr w:rsidR="007E7563" w:rsidRPr="000D39CB" w:rsidTr="00790290">
        <w:trPr>
          <w:trHeight w:val="48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7E7563" w:rsidRPr="000D39CB" w:rsidRDefault="007E7563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63" w:rsidRPr="00D063DA" w:rsidRDefault="00956C18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2.2.1.4</w:t>
            </w:r>
            <w:r w:rsidR="00997BE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</w:t>
            </w:r>
            <w:r w:rsidR="00AD00F4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</w:t>
            </w:r>
            <w:r w:rsidR="007E7563" w:rsidRPr="00D063D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Provedba edukacija zaposlenika o strateškom planiranju i implementacijskim dokumentima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7563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7563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E7563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</w:tr>
      <w:tr w:rsidR="00AB68A9" w:rsidRPr="000D39CB" w:rsidTr="00790290">
        <w:trPr>
          <w:trHeight w:val="24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261628" w:rsidRDefault="00956C18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2.2.1.5</w:t>
            </w:r>
            <w:r w:rsidR="00997BEB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AB68A9" w:rsidRPr="00D063DA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Razvoj alata za praćenje realizacije strateških i implementacijskih dokumenata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F81D0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BE7E59" w:rsidRPr="000D39CB" w:rsidTr="00790290">
        <w:trPr>
          <w:trHeight w:val="24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BE7E59" w:rsidRPr="000D39CB" w:rsidRDefault="00BE7E5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E59" w:rsidRDefault="00BE7E59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2.2.1.6. Plan upravljanja imovinom grada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7E59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7E59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E7E59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B68A9" w:rsidRPr="000D39CB" w:rsidTr="00790290">
        <w:trPr>
          <w:trHeight w:val="27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261628" w:rsidRDefault="00BE7E59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2.2.1.7</w:t>
            </w:r>
            <w:r w:rsidR="00AD00F4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956C1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Poboljšanje rada, </w:t>
            </w:r>
            <w:r w:rsidR="00956C18" w:rsidRPr="00956C1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animiranje </w:t>
            </w:r>
            <w:r w:rsidR="00956C1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i osnaživanje uloge predstavnika</w:t>
            </w:r>
            <w:r w:rsidR="00956C18" w:rsidRPr="00956C1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MZ-a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D50982" w:rsidP="001F0A7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  <w:r w:rsidR="001F0A7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D50982" w:rsidP="001F0A7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1F0A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C06C5E" w:rsidRPr="000D39CB" w:rsidTr="00790290">
        <w:trPr>
          <w:trHeight w:val="27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C06C5E" w:rsidRPr="000D39CB" w:rsidRDefault="00C06C5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C5E" w:rsidRDefault="00BE7E59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2.2.1.8</w:t>
            </w:r>
            <w:r w:rsidR="00C06C5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Osnaživanje građana u razvoju politika (Savjet građana)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6C5E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6C5E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C06C5E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06C5E" w:rsidRPr="000D39CB" w:rsidTr="00790290">
        <w:trPr>
          <w:trHeight w:val="27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C06C5E" w:rsidRPr="000D39CB" w:rsidRDefault="00C06C5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C5E" w:rsidRDefault="00BE7E59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2.2.1.9</w:t>
            </w:r>
            <w:r w:rsidR="00C06C5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Uspostava alata ocjene zadovoljstva građana</w:t>
            </w:r>
            <w:r w:rsidR="00C13AF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</w:t>
            </w:r>
            <w:r w:rsidR="00C06C5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pružanim javnim uslugama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6C5E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6C5E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C06C5E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1.000</w:t>
            </w:r>
          </w:p>
        </w:tc>
      </w:tr>
      <w:tr w:rsidR="00956C18" w:rsidRPr="000D39CB" w:rsidTr="00790290">
        <w:trPr>
          <w:trHeight w:val="27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956C18" w:rsidRPr="000D39CB" w:rsidRDefault="00956C18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C18" w:rsidRDefault="00BE7E59" w:rsidP="00D50982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2.2.1.10</w:t>
            </w:r>
            <w:r w:rsidR="00956C1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D50982" w:rsidRPr="00D50982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Osnaživanje kapaciteta Grada za transparentnu saradnju </w:t>
            </w:r>
            <w:r w:rsidR="00D50982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i p</w:t>
            </w:r>
            <w:r w:rsidR="00956C18" w:rsidRPr="00956C1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odrška projektima organizacija civilnog društva (OCD/NVO)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C18" w:rsidRDefault="00A47119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  <w:r w:rsidR="00D5098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6C18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56C18" w:rsidRDefault="00A47119" w:rsidP="00D5098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="00D5098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4B11D3" w:rsidRPr="000D39CB" w:rsidTr="00790290">
        <w:trPr>
          <w:trHeight w:val="27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4B11D3" w:rsidRPr="000D39CB" w:rsidRDefault="004B11D3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1D3" w:rsidRDefault="004B11D3" w:rsidP="005207A7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2.2.1.11. Pružanje podrške i saradnja sa vjerskim zajednicama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1D3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11D3" w:rsidRDefault="004B11D3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4B11D3" w:rsidRDefault="00D5098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30.000</w:t>
            </w:r>
          </w:p>
        </w:tc>
      </w:tr>
      <w:tr w:rsidR="00E068C4" w:rsidRPr="000D39CB" w:rsidTr="00790290">
        <w:trPr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E068C4" w:rsidRPr="00B92DF4" w:rsidRDefault="00E068C4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B92DF4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2.2.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068C4" w:rsidRDefault="00E068C4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2.2.2.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 w:rsidR="00DC23C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odrška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mladim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ranjivim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kategorijama</w:t>
            </w:r>
            <w:proofErr w:type="spellEnd"/>
          </w:p>
        </w:tc>
      </w:tr>
      <w:tr w:rsidR="00E068C4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Pr="00261628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2.2.2.1. Program  podrške </w:t>
            </w:r>
            <w:r w:rsidRPr="007E7563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poduzetništva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i razvoju vještina </w:t>
            </w:r>
            <w:r w:rsidRPr="007E7563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mladih posebno u sektorima visokog potencijala kao što su turizam, uslužne djelatnosti, informacijske teh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nologije i kreativne industrije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5E6C95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295B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</w:t>
            </w:r>
            <w:r w:rsidR="005E6C9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295B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5E6C9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E068C4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2.2.2.2. Povoljni uslovi stanovanja za mlade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5F5B68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5F5B68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5F5B68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30.000</w:t>
            </w:r>
          </w:p>
        </w:tc>
      </w:tr>
      <w:tr w:rsidR="00E068C4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2.2.2.3.</w:t>
            </w:r>
            <w:r w:rsidRPr="00C13AF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Unaprijeđenje kapaciteta javnog sektora i sektora civilnog društva za realizaciju omladinske politike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A47119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120.000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58451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58451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  <w:r w:rsidR="00A4711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E068C4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2.2.2.4. Implementacija mjera Strategije za mlade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150.000</w:t>
            </w:r>
          </w:p>
        </w:tc>
      </w:tr>
      <w:tr w:rsidR="00E068C4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Pr="00261628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2.2.2.5. </w:t>
            </w:r>
            <w:r w:rsidRPr="00C13AF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Uspostavljanje novih i unaprjeđenje postojećih mjera i usluga socijalne zaštite za osjetljive društvene grupe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606C0B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36</w:t>
            </w:r>
            <w:r w:rsidR="00082FB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Pr="000D39CB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606C0B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  <w:r w:rsidR="00082FB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E068C4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Pr="00261628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2.2.2.6. </w:t>
            </w:r>
            <w:r w:rsidRPr="00C13AF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Obezbjeđenje adekvatnih uslova za rad udruženja koja zastupaju interese osoba u socijalnim rizicima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Pr="000D39CB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82FB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150.000</w:t>
            </w:r>
          </w:p>
        </w:tc>
      </w:tr>
      <w:tr w:rsidR="00E068C4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2.2.2.7. Podrška udruženjima boračkih kategorija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180.000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Pr="000D39CB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180.000</w:t>
            </w:r>
          </w:p>
        </w:tc>
      </w:tr>
      <w:tr w:rsidR="00E068C4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Pr="00261628" w:rsidRDefault="00E068C4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2.2.2.8. </w:t>
            </w:r>
            <w:r w:rsidRPr="00C13AF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Jačanje kapaciteta  udruženja  za potrebe uspostavljanja koncepta socijalnog poduzetništv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Pr="000D39CB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E068C4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Pr="00261628" w:rsidRDefault="00E068C4" w:rsidP="008B430D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2.2.2.9. Centar za zdravo starenje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Pr="000D39CB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230.000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250.000</w:t>
            </w:r>
          </w:p>
        </w:tc>
      </w:tr>
      <w:tr w:rsidR="00E068C4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E068C4" w:rsidRPr="000D39CB" w:rsidRDefault="00E068C4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C4" w:rsidRDefault="00E068C4" w:rsidP="008B430D">
            <w:pPr>
              <w:spacing w:before="40" w:after="4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2.2.2.10. </w:t>
            </w:r>
            <w:r w:rsidRPr="00E068C4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Podrška uspostavljanju održive usluge pomoći u kući za stara lica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68C4" w:rsidRPr="000D39CB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65.000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E068C4" w:rsidRDefault="00082FB1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80.000</w:t>
            </w:r>
          </w:p>
        </w:tc>
      </w:tr>
      <w:tr w:rsidR="005A6C68" w:rsidRPr="000D39CB" w:rsidTr="00790290">
        <w:trPr>
          <w:cantSplit/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A6C68" w:rsidRPr="000D39CB" w:rsidRDefault="0086200A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2.2.3</w:t>
            </w:r>
            <w:r w:rsidR="005A6C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="005A6C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A6C68" w:rsidRDefault="0086200A" w:rsidP="0085133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2.2.3</w:t>
            </w:r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Unaprijeđenje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sistem</w:t>
            </w:r>
            <w:r w:rsidR="00DC23C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zaštite</w:t>
            </w:r>
            <w:proofErr w:type="spellEnd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6C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spašavanja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uslova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ostvarivanja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zdravstvene</w:t>
            </w:r>
            <w:proofErr w:type="spellEnd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zaštite</w:t>
            </w:r>
            <w:proofErr w:type="spellEnd"/>
          </w:p>
        </w:tc>
      </w:tr>
      <w:tr w:rsidR="005A6C68" w:rsidRPr="000D39CB" w:rsidTr="00790290">
        <w:trPr>
          <w:trHeight w:val="17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5A6C68" w:rsidRPr="000D39CB" w:rsidRDefault="005A6C68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68" w:rsidRPr="00261628" w:rsidRDefault="0086200A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2.2.3</w:t>
            </w:r>
            <w:r w:rsidR="005A6C6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.1. Unaprijeđenje </w:t>
            </w:r>
            <w:r w:rsidR="005A6C68" w:rsidRPr="000E634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 prostorn</w:t>
            </w:r>
            <w:r w:rsidR="005A6C6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ih  kapaciteta </w:t>
            </w:r>
            <w:r w:rsidR="005A6C68" w:rsidRPr="000E634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službi u Domu zdravlja i nabavka opreme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1F0A78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1F0A78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5A6C68" w:rsidRDefault="001F0A78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50.000</w:t>
            </w:r>
          </w:p>
        </w:tc>
      </w:tr>
      <w:tr w:rsidR="005A6C68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5A6C68" w:rsidRPr="000D39CB" w:rsidRDefault="005A6C68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68" w:rsidRPr="00261628" w:rsidRDefault="0086200A" w:rsidP="00AB68A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2.2.3</w:t>
            </w:r>
            <w:r w:rsidR="005A6C68">
              <w:rPr>
                <w:i/>
                <w:sz w:val="20"/>
                <w:szCs w:val="20"/>
              </w:rPr>
              <w:t>.2.  Program</w:t>
            </w:r>
            <w:r w:rsidR="005A6C68" w:rsidRPr="00483A42">
              <w:rPr>
                <w:i/>
                <w:sz w:val="20"/>
                <w:szCs w:val="20"/>
              </w:rPr>
              <w:t xml:space="preserve"> razvoja zaštite i spašavanja ljudi i materijalnih dobara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300.000</w:t>
            </w:r>
          </w:p>
        </w:tc>
      </w:tr>
      <w:tr w:rsidR="005A6C68" w:rsidRPr="000D39CB" w:rsidTr="00790290">
        <w:trPr>
          <w:cantSplit/>
          <w:trHeight w:val="227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5A6C68" w:rsidRPr="000D39CB" w:rsidRDefault="005A6C68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68" w:rsidRPr="00261628" w:rsidRDefault="0086200A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2.2.3</w:t>
            </w:r>
            <w:r w:rsidR="005A6C6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.3. </w:t>
            </w:r>
            <w:r w:rsidR="005A6C68" w:rsidRPr="00F17CD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Opremanje jedinica i službi za zaštitu i spašavanje i jedinica civilne zaštite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300.000</w:t>
            </w:r>
          </w:p>
        </w:tc>
      </w:tr>
      <w:tr w:rsidR="005A6C68" w:rsidRPr="000D39CB" w:rsidTr="00790290">
        <w:trPr>
          <w:cantSplit/>
          <w:trHeight w:val="227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5A6C68" w:rsidRPr="000D39CB" w:rsidRDefault="005A6C68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68" w:rsidRDefault="0086200A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2.2.3</w:t>
            </w:r>
            <w:r w:rsidR="005A6C6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.4. Sanacija klizišta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  <w:r w:rsidR="00D908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  <w:r w:rsidR="00D9083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5A6C68" w:rsidRDefault="00D9083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</w:tr>
      <w:tr w:rsidR="0087166D" w:rsidRPr="000D39CB" w:rsidTr="00790290">
        <w:trPr>
          <w:cantSplit/>
          <w:trHeight w:val="227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87166D" w:rsidRPr="000D39CB" w:rsidRDefault="0087166D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166D" w:rsidRDefault="0087166D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2.2.3.5.</w:t>
            </w:r>
            <w:r w:rsidR="002F6E9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Studija mapiranja kritičnih klizišnih terena na području Grada Goražda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166D" w:rsidRDefault="002F6E97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166D" w:rsidRDefault="0087166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87166D" w:rsidRDefault="002F6E97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5A6C68" w:rsidRPr="000D39CB" w:rsidTr="00790290">
        <w:trPr>
          <w:cantSplit/>
          <w:trHeight w:val="227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5A6C68" w:rsidRPr="000D39CB" w:rsidRDefault="005A6C68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C68" w:rsidRDefault="0086200A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2.2.3</w:t>
            </w:r>
            <w:r w:rsidR="002F6E97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.6</w:t>
            </w:r>
            <w:r w:rsidR="005A6C68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Razvoj hidrantske mreže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C68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5A6C68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15.000</w:t>
            </w:r>
          </w:p>
        </w:tc>
      </w:tr>
      <w:tr w:rsidR="00AB68A9" w:rsidTr="0087166D">
        <w:trPr>
          <w:trHeight w:val="380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Pr="000D39CB" w:rsidRDefault="0086200A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2.3</w:t>
            </w:r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Prioritet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Default="0085133F" w:rsidP="0087166D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</w:t>
            </w:r>
            <w:r w:rsidR="0086200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Razvijati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javnu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="00832D0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nfrastrukturu</w:t>
            </w:r>
            <w:proofErr w:type="spellEnd"/>
          </w:p>
        </w:tc>
      </w:tr>
      <w:tr w:rsidR="00AB68A9" w:rsidTr="00790290">
        <w:trPr>
          <w:trHeight w:val="225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B68A9" w:rsidRDefault="005207A7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2.3</w:t>
            </w:r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.1. </w:t>
            </w:r>
            <w:proofErr w:type="spellStart"/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Default="005207A7" w:rsidP="00DC23C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2.3</w:t>
            </w:r>
            <w:r w:rsidR="00AB68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.1. </w:t>
            </w:r>
            <w:proofErr w:type="spellStart"/>
            <w:r w:rsidR="00DC23C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Unaprijeđenje</w:t>
            </w:r>
            <w:proofErr w:type="spellEnd"/>
            <w:r w:rsidR="00DC23C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</w:t>
            </w:r>
            <w:r w:rsidR="00DC23C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avne</w:t>
            </w:r>
            <w:proofErr w:type="spellEnd"/>
            <w:r w:rsidR="00BE69F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69F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="008513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nfrastrukture</w:t>
            </w:r>
            <w:proofErr w:type="spellEnd"/>
          </w:p>
        </w:tc>
      </w:tr>
      <w:tr w:rsidR="00AB68A9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23763" w:rsidRDefault="005207A7" w:rsidP="00BE7E5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2.3</w:t>
            </w:r>
            <w:r w:rsid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.1.1. </w:t>
            </w:r>
            <w:r w:rsidR="00BE7E59" w:rsidRP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Realizacija  partnerskih projekata u oblasti cesta višeg ranga, koji se uz podršku Grada rali</w:t>
            </w:r>
            <w:r w:rsid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zuju kroz područje Grada Goražda</w:t>
            </w:r>
            <w:r w:rsidR="00BE7E59" w:rsidRP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:</w:t>
            </w:r>
            <w:r w:rsid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 Brza cesta, Zaobilaznica Goražde</w:t>
            </w:r>
            <w:r w:rsidR="00BE7E59" w:rsidRP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, regionalne </w:t>
            </w:r>
            <w:r w:rsid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ceste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10.000.000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0D39CB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10.050.000</w:t>
            </w:r>
          </w:p>
        </w:tc>
      </w:tr>
      <w:tr w:rsidR="00AB68A9" w:rsidRPr="000D39CB" w:rsidTr="00790290">
        <w:trPr>
          <w:trHeight w:val="9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23763" w:rsidRDefault="005207A7" w:rsidP="00AB68A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2.3</w:t>
            </w:r>
            <w:r w:rsidR="00BE7E5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.1.2. </w:t>
            </w:r>
            <w:r w:rsidR="00AA3571" w:rsidRPr="00AA357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Rekonstrukcija lokalnih cesta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AC3900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AC3900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900.000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0D39CB" w:rsidRDefault="00AC3900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1.500.000</w:t>
            </w:r>
          </w:p>
        </w:tc>
      </w:tr>
      <w:tr w:rsidR="00AB68A9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23763" w:rsidRDefault="005207A7" w:rsidP="00AB68A9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2.3</w:t>
            </w:r>
            <w:r w:rsidR="00BE7E59">
              <w:rPr>
                <w:i/>
                <w:sz w:val="20"/>
                <w:szCs w:val="20"/>
              </w:rPr>
              <w:t xml:space="preserve">.1.3. </w:t>
            </w:r>
            <w:r w:rsidR="00BE7E59" w:rsidRPr="00BE7E59">
              <w:rPr>
                <w:b/>
                <w:i/>
                <w:sz w:val="20"/>
                <w:szCs w:val="20"/>
              </w:rPr>
              <w:t>S.P.</w:t>
            </w:r>
            <w:r w:rsidR="00BE7E59">
              <w:rPr>
                <w:i/>
                <w:sz w:val="20"/>
                <w:szCs w:val="20"/>
              </w:rPr>
              <w:t xml:space="preserve"> </w:t>
            </w:r>
            <w:r w:rsidR="00AA3571" w:rsidRPr="00AA3571">
              <w:rPr>
                <w:i/>
                <w:sz w:val="20"/>
                <w:szCs w:val="20"/>
              </w:rPr>
              <w:t>Projekat unaprijeđenja saobraćaja u mirovanju sa sistemom naplate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B00DC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B00DC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B00DC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</w:tr>
      <w:tr w:rsidR="007A1B2E" w:rsidRPr="000D39CB" w:rsidTr="007A1B2E">
        <w:trPr>
          <w:cantSplit/>
          <w:trHeight w:val="345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7A1B2E" w:rsidRPr="000D39CB" w:rsidRDefault="007A1B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B2E" w:rsidRPr="00A23763" w:rsidRDefault="007A1B2E" w:rsidP="005207A7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2.3.1.4. </w:t>
            </w:r>
            <w:r w:rsidRPr="00BE7E59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 w:eastAsia="zh-CN"/>
              </w:rPr>
              <w:t>S.P.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Goražde-uređen grad 3x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B2E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1.800.000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B2E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1.200.000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A1B2E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3.000.000</w:t>
            </w:r>
          </w:p>
        </w:tc>
      </w:tr>
      <w:tr w:rsidR="00BE7E59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BE7E59" w:rsidRPr="000D39CB" w:rsidRDefault="00BE7E5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E59" w:rsidRDefault="005207A7" w:rsidP="007A1B2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2.3</w:t>
            </w:r>
            <w:r w:rsidR="00BE7E5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.1.</w:t>
            </w:r>
            <w:r w:rsidR="007A1B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5</w:t>
            </w:r>
            <w:r w:rsidR="00BE7E59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Rekonstrukcija Trga branilaca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7E59" w:rsidRPr="000D39CB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7E59" w:rsidRPr="000D39CB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E7E59" w:rsidRPr="000D39CB" w:rsidRDefault="00D3444D" w:rsidP="00D3444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700.000</w:t>
            </w:r>
          </w:p>
        </w:tc>
      </w:tr>
      <w:tr w:rsidR="00B21D1C" w:rsidRPr="000D39CB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B21D1C" w:rsidRPr="000D39CB" w:rsidRDefault="00B21D1C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D1C" w:rsidRDefault="005207A7" w:rsidP="007A1B2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2.3</w:t>
            </w:r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.1.</w:t>
            </w:r>
            <w:r w:rsidR="007A1B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6</w:t>
            </w:r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Izgradnja ZIP-line (Faza I-studisko-investiciona dokumentacija)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1D1C" w:rsidRPr="000D39CB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1D1C" w:rsidRPr="000D39CB" w:rsidRDefault="006C23A6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21D1C" w:rsidRPr="000D39CB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30.000</w:t>
            </w:r>
          </w:p>
        </w:tc>
      </w:tr>
      <w:tr w:rsidR="00AB68A9" w:rsidTr="00B21D1C">
        <w:trPr>
          <w:trHeight w:val="200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B68A9" w:rsidRPr="00A23763" w:rsidRDefault="005207A7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2.3</w:t>
            </w:r>
            <w:r w:rsidR="007A1B2E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.1.7</w:t>
            </w:r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 </w:t>
            </w:r>
            <w:r w:rsidR="00AA3571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Izgradnja </w:t>
            </w:r>
            <w:r w:rsidR="007E7563" w:rsidRPr="007E7563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infrastrukture u ruralnim sredinama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Default="00AC3900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AC3900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AC3900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</w:tr>
      <w:tr w:rsidR="00AB68A9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911E9" w:rsidRDefault="005207A7" w:rsidP="007A1B2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2.3</w:t>
            </w:r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.1.</w:t>
            </w:r>
            <w:r w:rsidR="007A1B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8</w:t>
            </w:r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Izgradnja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proširenje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infrastrukture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za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pogrebnu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djelatnost</w:t>
            </w:r>
            <w:proofErr w:type="spellEnd"/>
            <w:r w:rsidR="00B21D1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100.000</w:t>
            </w:r>
          </w:p>
        </w:tc>
      </w:tr>
      <w:tr w:rsidR="00AB68A9" w:rsidTr="00790290">
        <w:trPr>
          <w:trHeight w:val="298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  <w:hideMark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261628" w:rsidRDefault="005207A7" w:rsidP="007A1B2E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2.3</w:t>
            </w:r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.1.</w:t>
            </w:r>
            <w:r w:rsidR="007A1B2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9</w:t>
            </w:r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21D1C" w:rsidRP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Izgr</w:t>
            </w:r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adnja</w:t>
            </w:r>
            <w:proofErr w:type="spellEnd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kružn</w:t>
            </w:r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ih</w:t>
            </w:r>
            <w:proofErr w:type="spellEnd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tok</w:t>
            </w:r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ova</w:t>
            </w:r>
            <w:proofErr w:type="spellEnd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na</w:t>
            </w:r>
            <w:proofErr w:type="spellEnd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području</w:t>
            </w:r>
            <w:proofErr w:type="spellEnd"/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Grada</w:t>
            </w:r>
            <w:proofErr w:type="spellEnd"/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A395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Goražde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2.000.000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2.000.000</w:t>
            </w:r>
          </w:p>
        </w:tc>
      </w:tr>
      <w:tr w:rsidR="00B21D1C" w:rsidTr="00790290">
        <w:trPr>
          <w:trHeight w:val="298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B21D1C" w:rsidRPr="000D39CB" w:rsidRDefault="00B21D1C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1D1C" w:rsidRDefault="005207A7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2.3</w:t>
            </w:r>
            <w:r w:rsidR="007A1B2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.1.10</w:t>
            </w:r>
            <w:r w:rsidR="005A6C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A6C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Natkrivanje</w:t>
            </w:r>
            <w:proofErr w:type="spellEnd"/>
            <w:r w:rsidR="005A6C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6C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Podhranjenskog</w:t>
            </w:r>
            <w:proofErr w:type="spellEnd"/>
            <w:r w:rsidR="005A6C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6C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poto</w:t>
            </w:r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ka</w:t>
            </w:r>
            <w:proofErr w:type="spellEnd"/>
            <w:r w:rsidR="00B21D1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1D1C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1D1C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450.000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21D1C" w:rsidRDefault="00D3444D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</w:tr>
      <w:tr w:rsidR="00AB68A9" w:rsidTr="00790290">
        <w:trPr>
          <w:cantSplit/>
          <w:trHeight w:val="283"/>
        </w:trPr>
        <w:tc>
          <w:tcPr>
            <w:tcW w:w="569" w:type="pct"/>
            <w:vMerge/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Default="005207A7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2.3</w:t>
            </w:r>
            <w:r w:rsidR="007A1B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.1.11</w:t>
            </w:r>
            <w:r w:rsid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Izgradnja</w:t>
            </w:r>
            <w:proofErr w:type="spellEnd"/>
            <w:r w:rsidR="00DF49D6" w:rsidRP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DF49D6" w:rsidRP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mosta</w:t>
            </w:r>
            <w:proofErr w:type="spellEnd"/>
            <w:r w:rsidR="00DF49D6" w:rsidRP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u </w:t>
            </w:r>
            <w:proofErr w:type="spellStart"/>
            <w:r w:rsidR="00DF49D6" w:rsidRP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Vitkovićima</w:t>
            </w:r>
            <w:proofErr w:type="spellEnd"/>
            <w:r w:rsid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prateće</w:t>
            </w:r>
            <w:proofErr w:type="spellEnd"/>
            <w:r w:rsidR="00DF49D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infrastrukture</w:t>
            </w:r>
            <w:proofErr w:type="spellEnd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završna</w:t>
            </w:r>
            <w:proofErr w:type="spellEnd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faza</w:t>
            </w:r>
            <w:proofErr w:type="spellEnd"/>
            <w:r w:rsidR="00CC40A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270.000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Default="00FA39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320.000</w:t>
            </w:r>
          </w:p>
        </w:tc>
      </w:tr>
      <w:tr w:rsidR="007A1B2E" w:rsidTr="009A074F">
        <w:trPr>
          <w:cantSplit/>
          <w:trHeight w:val="285"/>
        </w:trPr>
        <w:tc>
          <w:tcPr>
            <w:tcW w:w="569" w:type="pct"/>
            <w:vMerge w:val="restart"/>
            <w:tcBorders>
              <w:top w:val="nil"/>
            </w:tcBorders>
            <w:shd w:val="clear" w:color="auto" w:fill="DEEAF6" w:themeFill="accent1" w:themeFillTint="33"/>
            <w:textDirection w:val="btLr"/>
            <w:vAlign w:val="center"/>
          </w:tcPr>
          <w:p w:rsidR="007A1B2E" w:rsidRPr="000D39CB" w:rsidRDefault="007A1B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B2E" w:rsidRDefault="007A1B2E" w:rsidP="007A1B2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 w:rsidRPr="0058159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2.3.1.1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Sanacija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dječijih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igrališta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B2E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B2E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A1B2E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100.000</w:t>
            </w:r>
          </w:p>
        </w:tc>
      </w:tr>
      <w:tr w:rsidR="007A1B2E" w:rsidTr="009A074F">
        <w:trPr>
          <w:cantSplit/>
          <w:trHeight w:val="195"/>
        </w:trPr>
        <w:tc>
          <w:tcPr>
            <w:tcW w:w="569" w:type="pct"/>
            <w:vMerge/>
            <w:tcBorders>
              <w:top w:val="nil"/>
            </w:tcBorders>
            <w:shd w:val="clear" w:color="auto" w:fill="DEEAF6" w:themeFill="accent1" w:themeFillTint="33"/>
            <w:textDirection w:val="btLr"/>
            <w:vAlign w:val="center"/>
          </w:tcPr>
          <w:p w:rsidR="007A1B2E" w:rsidRPr="000D39CB" w:rsidRDefault="007A1B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B2E" w:rsidRPr="0058159E" w:rsidRDefault="007A1B2E" w:rsidP="005806D3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 w:rsidRPr="007A1B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2.3.1.13.</w:t>
            </w:r>
            <w:r w:rsidR="005806D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806D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Rekonstrkucija</w:t>
            </w:r>
            <w:proofErr w:type="spellEnd"/>
            <w:r w:rsidR="005806D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806D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="005806D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sanacija</w:t>
            </w:r>
            <w:proofErr w:type="spellEnd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objekta</w:t>
            </w:r>
            <w:proofErr w:type="spellEnd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Đačkog</w:t>
            </w:r>
            <w:proofErr w:type="spellEnd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21545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doma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B2E" w:rsidRDefault="00C21545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B2E" w:rsidRDefault="00C21545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A1B2E" w:rsidRDefault="00C21545" w:rsidP="00C215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300.000</w:t>
            </w:r>
          </w:p>
        </w:tc>
      </w:tr>
      <w:tr w:rsidR="00AB68A9" w:rsidRPr="000D39CB" w:rsidTr="00790290">
        <w:trPr>
          <w:trHeight w:val="435"/>
        </w:trPr>
        <w:tc>
          <w:tcPr>
            <w:tcW w:w="3037" w:type="pct"/>
            <w:gridSpan w:val="3"/>
            <w:shd w:val="clear" w:color="auto" w:fill="FFFF00"/>
            <w:vAlign w:val="center"/>
          </w:tcPr>
          <w:p w:rsidR="00AB68A9" w:rsidRPr="00936D22" w:rsidRDefault="00AB68A9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BROJ PROJEKATA:   </w:t>
            </w:r>
            <w:r w:rsidRPr="00936D22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="002A3F4F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61</w:t>
            </w:r>
            <w:bookmarkStart w:id="0" w:name="_GoBack"/>
            <w:bookmarkEnd w:id="0"/>
            <w:r w:rsidRPr="00936D22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                                                 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                                   </w:t>
            </w:r>
            <w:r w:rsidRPr="00936D22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UKUPNO SREDSTAVA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AB68A9" w:rsidRPr="00D243CA" w:rsidRDefault="00925574" w:rsidP="00AB68A9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12.663</w:t>
            </w:r>
            <w:r w:rsidR="009A074F">
              <w:rPr>
                <w:rFonts w:ascii="Calibri" w:hAnsi="Calibri" w:cs="Calibri"/>
                <w:b/>
                <w:color w:val="000000"/>
              </w:rPr>
              <w:t>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AB68A9" w:rsidRPr="00D243CA" w:rsidRDefault="009A074F" w:rsidP="00AB68A9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23.996.000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AB68A9" w:rsidRPr="00D243CA" w:rsidRDefault="00814AA8" w:rsidP="00AB68A9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36.659</w:t>
            </w:r>
            <w:r w:rsidR="009A074F">
              <w:rPr>
                <w:rFonts w:ascii="Calibri" w:hAnsi="Calibri" w:cs="Calibri"/>
                <w:b/>
                <w:color w:val="000000"/>
              </w:rPr>
              <w:t>.000</w:t>
            </w:r>
          </w:p>
        </w:tc>
      </w:tr>
      <w:tr w:rsidR="00AB68A9" w:rsidRPr="000D39CB" w:rsidTr="00790290">
        <w:trPr>
          <w:trHeight w:val="409"/>
        </w:trPr>
        <w:tc>
          <w:tcPr>
            <w:tcW w:w="5000" w:type="pct"/>
            <w:gridSpan w:val="6"/>
            <w:shd w:val="clear" w:color="auto" w:fill="92D050"/>
            <w:vAlign w:val="center"/>
            <w:hideMark/>
          </w:tcPr>
          <w:p w:rsidR="00AB68A9" w:rsidRPr="005A3AD9" w:rsidRDefault="00AB68A9" w:rsidP="00894D2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rPr>
                <w:rFonts w:ascii="Calibri" w:eastAsia="Calibri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STRATEŠKI CILJ: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Unaprijeđena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uređenost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grada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zasnovana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na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održivosti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,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ekološkim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tranzicijskim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zahtjevima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i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savremenom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primjenljivom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prostornom</w:t>
            </w:r>
            <w:proofErr w:type="spellEnd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94486C">
              <w:rPr>
                <w:rFonts w:ascii="Calibri" w:eastAsia="Calibri" w:hAnsi="Calibri" w:cs="Calibri"/>
                <w:b/>
                <w:bCs/>
                <w:lang w:val="en-GB" w:eastAsia="en-GB"/>
              </w:rPr>
              <w:t>planiranju</w:t>
            </w:r>
            <w:proofErr w:type="spellEnd"/>
          </w:p>
        </w:tc>
      </w:tr>
      <w:tr w:rsidR="00AB68A9" w:rsidRPr="000D39CB" w:rsidTr="00790290">
        <w:trPr>
          <w:trHeight w:val="340"/>
        </w:trPr>
        <w:tc>
          <w:tcPr>
            <w:tcW w:w="5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AB68A9" w:rsidRPr="000D39CB" w:rsidRDefault="00AB68A9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3.1.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Prioritet</w:t>
            </w:r>
            <w:proofErr w:type="spellEnd"/>
          </w:p>
        </w:tc>
        <w:tc>
          <w:tcPr>
            <w:tcW w:w="443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3.1. </w:t>
            </w:r>
            <w:proofErr w:type="spellStart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Poboljšati</w:t>
            </w:r>
            <w:proofErr w:type="spellEnd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ostvarivanje</w:t>
            </w:r>
            <w:proofErr w:type="spellEnd"/>
            <w:r w:rsid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okolišnih</w:t>
            </w:r>
            <w:proofErr w:type="spellEnd"/>
            <w:r w:rsid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kriterija</w:t>
            </w:r>
            <w:proofErr w:type="spellEnd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i</w:t>
            </w:r>
            <w:proofErr w:type="spellEnd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uređenost</w:t>
            </w:r>
            <w:proofErr w:type="spellEnd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grada</w:t>
            </w:r>
            <w:proofErr w:type="spellEnd"/>
          </w:p>
        </w:tc>
      </w:tr>
      <w:tr w:rsidR="001D452E" w:rsidRPr="000D39CB" w:rsidTr="00790290">
        <w:trPr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1D452E" w:rsidRPr="000D39CB" w:rsidRDefault="001D452E" w:rsidP="00AB68A9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3.1.1.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D452E" w:rsidRPr="000D39CB" w:rsidRDefault="001D452E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3.1.1. </w:t>
            </w:r>
            <w:proofErr w:type="spellStart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Poboljšanje</w:t>
            </w:r>
            <w:proofErr w:type="spellEnd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komunalnih</w:t>
            </w:r>
            <w:proofErr w:type="spellEnd"/>
            <w:r w:rsidR="007A29E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7A29E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usluga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čist</w:t>
            </w:r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oće</w:t>
            </w:r>
            <w:proofErr w:type="spellEnd"/>
            <w:r w:rsidR="005120A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1D452E" w:rsidRPr="000D39CB" w:rsidTr="00790290">
        <w:trPr>
          <w:trHeight w:val="20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2E" w:rsidRPr="00AB007E" w:rsidRDefault="001D452E" w:rsidP="00AB68A9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3.1.1.1. </w:t>
            </w:r>
            <w:r w:rsidRPr="00183814">
              <w:rPr>
                <w:rFonts w:ascii="Calibri" w:eastAsia="Calibri" w:hAnsi="Calibri" w:cs="Calibri"/>
                <w:b/>
                <w:i/>
                <w:sz w:val="20"/>
                <w:szCs w:val="20"/>
                <w:lang w:val="en-US" w:eastAsia="zh-CN"/>
              </w:rPr>
              <w:t>S.P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Osnaživanje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komunalnog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6 Mart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Pr="000D39CB" w:rsidRDefault="00D01A52" w:rsidP="00AD44F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  <w:r w:rsidR="00AD44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450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1D452E" w:rsidRPr="000D39CB" w:rsidTr="00790290">
        <w:trPr>
          <w:cantSplit/>
          <w:trHeight w:val="28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2E" w:rsidRPr="00AB007E" w:rsidRDefault="001D452E" w:rsidP="00AB68A9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3.1.1.2.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Izrada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usvajanja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nove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Odluke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komunalnom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redu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1D452E" w:rsidRPr="000D39CB" w:rsidTr="00790290">
        <w:trPr>
          <w:cantSplit/>
          <w:trHeight w:val="28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2E" w:rsidRPr="00E57A15" w:rsidRDefault="001D452E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3.1.1.3.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Odluka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standardima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ugradnje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materijala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javnu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urbanu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infarstrukutu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1D452E" w:rsidRPr="000D39CB" w:rsidTr="00790290">
        <w:trPr>
          <w:cantSplit/>
          <w:trHeight w:val="28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2E" w:rsidRDefault="001D452E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3.1.1.4. P</w:t>
            </w:r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lan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program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čišćenja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pročišćavanja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rešetki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odvodnih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kanala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kanalizacionog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sistema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na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području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Grada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0907C6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50.000</w:t>
            </w:r>
          </w:p>
        </w:tc>
      </w:tr>
      <w:tr w:rsidR="00CC7C2F" w:rsidRPr="000D39CB" w:rsidTr="00790290">
        <w:trPr>
          <w:cantSplit/>
          <w:trHeight w:val="28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C7C2F" w:rsidRPr="000D39CB" w:rsidRDefault="00CC7C2F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C2F" w:rsidRDefault="00CC7C2F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3.1.1.5.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Podrška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rješavanju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pitanja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pasa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lutalica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7C2F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7C2F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CC7C2F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</w:tr>
      <w:tr w:rsidR="001D452E" w:rsidRPr="000D39CB" w:rsidTr="00790290">
        <w:trPr>
          <w:cantSplit/>
          <w:trHeight w:val="283"/>
        </w:trPr>
        <w:tc>
          <w:tcPr>
            <w:tcW w:w="56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2E" w:rsidRDefault="00CC7C2F" w:rsidP="00894D28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3.1.1.6</w:t>
            </w:r>
            <w:r w:rsid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.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Podrška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uspostavljanju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održivog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mehanizama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stalnog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nadzora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redovnog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održavanja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806D3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="00AD44F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AD44F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uređenja</w:t>
            </w:r>
            <w:proofErr w:type="spellEnd"/>
            <w:r w:rsidR="00AD44FC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riječnih</w:t>
            </w:r>
            <w:proofErr w:type="spellEnd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korita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AD44FC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575D87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7</w:t>
            </w:r>
            <w:r w:rsidR="00AD44F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Default="00575D87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="00AD44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00.000</w:t>
            </w:r>
          </w:p>
        </w:tc>
      </w:tr>
      <w:tr w:rsidR="00AB68A9" w:rsidRPr="000D39CB" w:rsidTr="00790290">
        <w:trPr>
          <w:trHeight w:val="285"/>
        </w:trPr>
        <w:tc>
          <w:tcPr>
            <w:tcW w:w="56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68A9" w:rsidRPr="000D39CB" w:rsidRDefault="00AB68A9" w:rsidP="00AB68A9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3.1.2.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Pr="00FA15E6" w:rsidRDefault="00AB68A9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3.1</w:t>
            </w:r>
            <w:r w:rsidRPr="00FA15E6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.2.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Unaprijeđenje</w:t>
            </w:r>
            <w:proofErr w:type="spellEnd"/>
            <w:r w:rsidR="005120A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vodnih</w:t>
            </w:r>
            <w:proofErr w:type="spellEnd"/>
            <w:r w:rsidR="005120A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5120A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usluga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Default="00AB68A9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Default="00AB68A9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Default="00AB68A9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B68A9" w:rsidRPr="000D39CB" w:rsidTr="00790290">
        <w:trPr>
          <w:trHeight w:val="109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B007E" w:rsidRDefault="00860E80" w:rsidP="00377152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3.1.2.1. </w:t>
            </w:r>
            <w:r w:rsidRPr="00860E80">
              <w:rPr>
                <w:rFonts w:ascii="Calibri" w:eastAsia="Calibri" w:hAnsi="Calibri" w:cs="Calibri"/>
                <w:b/>
                <w:i/>
                <w:sz w:val="20"/>
                <w:szCs w:val="20"/>
                <w:lang w:val="en-US" w:eastAsia="zh-CN"/>
              </w:rPr>
              <w:t>S.P.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Razvoj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vodosnabdijevanja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povećanjem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kapaciteta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u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sistemu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poboljšanje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kvalitete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sekundarne</w:t>
            </w:r>
            <w:proofErr w:type="spellEnd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E80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mreže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1.500.000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2.000.000</w:t>
            </w:r>
          </w:p>
        </w:tc>
      </w:tr>
      <w:tr w:rsidR="00AB68A9" w:rsidRPr="000D39CB" w:rsidTr="00790290">
        <w:trPr>
          <w:trHeight w:val="109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B007E" w:rsidRDefault="001D452E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3.1.2.2. </w:t>
            </w:r>
            <w:proofErr w:type="spellStart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Izrada</w:t>
            </w:r>
            <w:proofErr w:type="spellEnd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katastra</w:t>
            </w:r>
            <w:proofErr w:type="spellEnd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objekata</w:t>
            </w:r>
            <w:proofErr w:type="spellEnd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vodosnabdijevanja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7715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</w:t>
            </w:r>
          </w:p>
        </w:tc>
      </w:tr>
      <w:tr w:rsidR="001D452E" w:rsidRPr="000D39CB" w:rsidTr="00790290">
        <w:trPr>
          <w:trHeight w:val="109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52E" w:rsidRDefault="001D452E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3.1.</w:t>
            </w:r>
            <w:r w:rsidRPr="001D452E">
              <w:rPr>
                <w:i/>
                <w:sz w:val="20"/>
                <w:szCs w:val="20"/>
              </w:rPr>
              <w:t>2.3.</w:t>
            </w:r>
            <w:r>
              <w:t xml:space="preserve"> </w:t>
            </w:r>
            <w:r w:rsidRPr="001D45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Uspostava modela plaćanja korištenja vodnih usluga po  principu „zagađivač plaća“i „korisnik plaća“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C7C2F" w:rsidRPr="000D39CB" w:rsidTr="00790290">
        <w:trPr>
          <w:trHeight w:val="109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CC7C2F" w:rsidRPr="000D39CB" w:rsidRDefault="00CC7C2F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C2F" w:rsidRPr="001D452E" w:rsidRDefault="00CC7C2F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3.1.2.4. Daljinski sistem očitovanja utroška vode u sistemu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7C2F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  <w:r w:rsidR="00377152" w:rsidRPr="0037715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7C2F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  <w:r w:rsidR="00377152" w:rsidRPr="0037715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CC7C2F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100.000</w:t>
            </w:r>
          </w:p>
        </w:tc>
      </w:tr>
      <w:tr w:rsidR="001D452E" w:rsidRPr="000D39CB" w:rsidTr="00266C1D">
        <w:trPr>
          <w:trHeight w:val="264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1D452E" w:rsidRPr="000D39CB" w:rsidRDefault="001D452E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152" w:rsidRDefault="00241D7C" w:rsidP="0037715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3.1.2.5</w:t>
            </w:r>
            <w:r w:rsidR="001D45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377152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Prikupljanje i tretman otpadnih voda u ruralnim područjima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52E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1D452E" w:rsidRPr="000D39CB" w:rsidRDefault="00377152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200.000</w:t>
            </w:r>
          </w:p>
        </w:tc>
      </w:tr>
      <w:tr w:rsidR="00377152" w:rsidRPr="000D39CB" w:rsidTr="00790290">
        <w:trPr>
          <w:trHeight w:val="225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377152" w:rsidRPr="000D39CB" w:rsidRDefault="00377152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8DE" w:rsidRDefault="00377152" w:rsidP="0037715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 w:rsidRPr="00377152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3.1.2.6. Unaprijeđenje i proširenje kanalizacionog sistema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7152" w:rsidRDefault="00F838DE" w:rsidP="00F838D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350.000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7152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377152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1.350.000</w:t>
            </w:r>
          </w:p>
        </w:tc>
      </w:tr>
      <w:tr w:rsidR="00CC7C2F" w:rsidRPr="000D39CB" w:rsidTr="00790290">
        <w:trPr>
          <w:trHeight w:val="109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CC7C2F" w:rsidRPr="000D39CB" w:rsidRDefault="00CC7C2F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C2F" w:rsidRDefault="00241D7C" w:rsidP="00F838D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3.1.2.</w:t>
            </w:r>
            <w:r w:rsidR="00F838D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7</w:t>
            </w:r>
            <w:r w:rsidR="00CC7C2F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1C222D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Odvodnja</w:t>
            </w:r>
            <w:r w:rsidR="00CC7C2F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oborinskih voda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7C2F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7C2F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3.000.000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CC7C2F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3.300.000</w:t>
            </w:r>
          </w:p>
        </w:tc>
      </w:tr>
      <w:tr w:rsidR="00AB68A9" w:rsidRPr="000D39CB" w:rsidTr="00790290">
        <w:trPr>
          <w:trHeight w:val="465"/>
        </w:trPr>
        <w:tc>
          <w:tcPr>
            <w:tcW w:w="569" w:type="pct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B68A9" w:rsidRPr="000D39CB" w:rsidRDefault="00AB68A9" w:rsidP="00AB68A9">
            <w:pPr>
              <w:spacing w:after="0" w:line="240" w:lineRule="auto"/>
              <w:ind w:right="11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AB007E" w:rsidRDefault="00241D7C" w:rsidP="00F838DE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3.1.2.</w:t>
            </w:r>
            <w:r w:rsidR="00F838D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8</w:t>
            </w:r>
            <w:r w:rsidR="001D45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. </w:t>
            </w:r>
            <w:r w:rsidR="001D452E" w:rsidRPr="001D452E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Izgradnja  kolektora otpadnih voda na relaciji Mravinjac-Vitkovići-Goražde-Novo Goražde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10.000.000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10.000.000</w:t>
            </w:r>
          </w:p>
        </w:tc>
      </w:tr>
      <w:tr w:rsidR="00AB68A9" w:rsidRPr="000D39CB" w:rsidTr="00790290">
        <w:trPr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000000" w:fill="DEEAF6"/>
            <w:vAlign w:val="center"/>
          </w:tcPr>
          <w:p w:rsidR="00AB68A9" w:rsidRPr="000D39CB" w:rsidRDefault="00D12E77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3.1.3</w:t>
            </w:r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Pr="008425CF" w:rsidRDefault="00D12E77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3.1.3</w:t>
            </w:r>
            <w:r w:rsidR="00AB68A9" w:rsidRPr="008425CF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.</w:t>
            </w:r>
            <w:r w:rsidR="00AB68A9" w:rsidRPr="008425CF">
              <w:rPr>
                <w:sz w:val="20"/>
                <w:szCs w:val="20"/>
              </w:rPr>
              <w:t xml:space="preserve"> </w:t>
            </w:r>
            <w:r w:rsidR="005120A7" w:rsidRPr="005120A7">
              <w:rPr>
                <w:b/>
                <w:sz w:val="20"/>
                <w:szCs w:val="20"/>
              </w:rPr>
              <w:t>Osiguranje adekvatnog o</w:t>
            </w:r>
            <w:r w:rsidR="00183814" w:rsidRPr="005120A7">
              <w:rPr>
                <w:b/>
                <w:sz w:val="20"/>
                <w:szCs w:val="20"/>
              </w:rPr>
              <w:t>dlaganje otp</w:t>
            </w:r>
            <w:r w:rsidR="00CC7C2F" w:rsidRPr="005120A7">
              <w:rPr>
                <w:b/>
                <w:sz w:val="20"/>
                <w:szCs w:val="20"/>
              </w:rPr>
              <w:t>a</w:t>
            </w:r>
            <w:r w:rsidR="00183814" w:rsidRPr="005120A7">
              <w:rPr>
                <w:b/>
                <w:sz w:val="20"/>
                <w:szCs w:val="20"/>
              </w:rPr>
              <w:t>da</w:t>
            </w:r>
          </w:p>
        </w:tc>
      </w:tr>
      <w:tr w:rsidR="00AB68A9" w:rsidRPr="000D39CB" w:rsidTr="00CC7C2F">
        <w:trPr>
          <w:trHeight w:val="152"/>
        </w:trPr>
        <w:tc>
          <w:tcPr>
            <w:tcW w:w="569" w:type="pct"/>
            <w:vMerge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68A9" w:rsidRPr="00844AD2" w:rsidRDefault="00D12E77" w:rsidP="00894D28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3.1.3</w:t>
            </w:r>
            <w:r w:rsidR="00CC7C2F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.1. </w:t>
            </w:r>
            <w:r w:rsidR="00CC7C2F" w:rsidRPr="00CC7C2F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Izrada Plana upravljanja otpadom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95B3D7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20.000</w:t>
            </w:r>
          </w:p>
        </w:tc>
      </w:tr>
      <w:tr w:rsidR="00AB68A9" w:rsidRPr="000D39CB" w:rsidTr="00790290">
        <w:trPr>
          <w:trHeight w:val="190"/>
        </w:trPr>
        <w:tc>
          <w:tcPr>
            <w:tcW w:w="569" w:type="pct"/>
            <w:vMerge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68A9" w:rsidRPr="00A911E9" w:rsidRDefault="00D12E77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3.1.3</w:t>
            </w:r>
            <w:r w:rsidR="00CC7C2F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.2. </w:t>
            </w:r>
            <w:r w:rsidR="00CC7C2F" w:rsidRPr="00CC7C2F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Zatvaranje i sanacija deponije Šišeta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95B3D7"/>
            <w:vAlign w:val="center"/>
          </w:tcPr>
          <w:p w:rsidR="00AB68A9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500.000</w:t>
            </w:r>
          </w:p>
        </w:tc>
      </w:tr>
      <w:tr w:rsidR="00AB68A9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8A9" w:rsidRPr="00E57A15" w:rsidRDefault="00D12E77" w:rsidP="00AB68A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3.1.3</w:t>
            </w:r>
            <w:r w:rsid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.3. </w:t>
            </w:r>
            <w:r w:rsidR="00CC7C2F" w:rsidRPr="00CC7C2F">
              <w:rPr>
                <w:rFonts w:ascii="Calibri" w:eastAsia="Calibri" w:hAnsi="Calibri" w:cs="Calibri"/>
                <w:b/>
                <w:i/>
                <w:sz w:val="20"/>
                <w:szCs w:val="20"/>
                <w:lang w:val="en-US" w:eastAsia="zh-CN"/>
              </w:rPr>
              <w:t>S.P.</w:t>
            </w:r>
            <w:r w:rsid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Izgradnja</w:t>
            </w:r>
            <w:proofErr w:type="spellEnd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i</w:t>
            </w:r>
            <w:proofErr w:type="spellEnd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puštanje</w:t>
            </w:r>
            <w:proofErr w:type="spellEnd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u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upotrebu</w:t>
            </w:r>
            <w:proofErr w:type="spellEnd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kasete</w:t>
            </w:r>
            <w:proofErr w:type="spellEnd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sanitarne</w:t>
            </w:r>
            <w:proofErr w:type="spellEnd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CC7C2F" w:rsidRPr="00CC7C2F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doponije</w:t>
            </w:r>
            <w:proofErr w:type="spellEnd"/>
            <w:r w:rsidR="000F46E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="000F46E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>Faza</w:t>
            </w:r>
            <w:proofErr w:type="spellEnd"/>
            <w:r w:rsidR="000F46E6">
              <w:rPr>
                <w:rFonts w:ascii="Calibri" w:eastAsia="Calibri" w:hAnsi="Calibri" w:cs="Calibri"/>
                <w:i/>
                <w:sz w:val="20"/>
                <w:szCs w:val="20"/>
                <w:lang w:val="en-US" w:eastAsia="zh-CN"/>
              </w:rPr>
              <w:t xml:space="preserve"> I)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2.000.000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95B3D7"/>
            <w:vAlign w:val="center"/>
          </w:tcPr>
          <w:p w:rsidR="00AB68A9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2.500.000</w:t>
            </w:r>
          </w:p>
        </w:tc>
      </w:tr>
      <w:tr w:rsidR="00AB68A9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68A9" w:rsidRPr="005111E9" w:rsidRDefault="00D12E77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3.1.3</w:t>
            </w:r>
            <w:r w:rsidR="00894D2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.4. </w:t>
            </w:r>
            <w:r w:rsidR="00CC7C2F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P</w:t>
            </w:r>
            <w:r w:rsidR="00CC7C2F" w:rsidRPr="00CC7C2F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redselekcije otpada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95B3D7"/>
            <w:vAlign w:val="center"/>
          </w:tcPr>
          <w:p w:rsidR="00AB68A9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30.000</w:t>
            </w:r>
          </w:p>
        </w:tc>
      </w:tr>
      <w:tr w:rsidR="00AB68A9" w:rsidRPr="000D39CB" w:rsidTr="00790290">
        <w:trPr>
          <w:trHeight w:val="340"/>
        </w:trPr>
        <w:tc>
          <w:tcPr>
            <w:tcW w:w="569" w:type="pct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Pr="000D39CB" w:rsidRDefault="00D12E77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3.2</w:t>
            </w:r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Prioritet</w:t>
            </w:r>
            <w:proofErr w:type="spellEnd"/>
          </w:p>
        </w:tc>
        <w:tc>
          <w:tcPr>
            <w:tcW w:w="4431" w:type="pct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AB68A9" w:rsidRPr="008B430D" w:rsidRDefault="00D12E77" w:rsidP="0078737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  <w:r w:rsidRP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3.2</w:t>
            </w:r>
            <w:r w:rsidR="00AB68A9" w:rsidRP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.</w:t>
            </w:r>
            <w:r w:rsidR="005120A7" w:rsidRPr="008B430D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 xml:space="preserve"> </w:t>
            </w:r>
            <w:r w:rsidR="00AB68A9" w:rsidRPr="008B430D">
              <w:rPr>
                <w:b/>
                <w:sz w:val="20"/>
                <w:szCs w:val="20"/>
              </w:rPr>
              <w:t xml:space="preserve"> </w:t>
            </w:r>
            <w:r w:rsidR="0078737D" w:rsidRPr="008B430D">
              <w:rPr>
                <w:b/>
                <w:sz w:val="20"/>
                <w:szCs w:val="20"/>
              </w:rPr>
              <w:t>Osigurati zeleni rast zasnovan na čistim energijama i održivom upravljanju</w:t>
            </w:r>
            <w:r w:rsidR="005120A7" w:rsidRPr="008B430D">
              <w:rPr>
                <w:b/>
                <w:sz w:val="20"/>
                <w:szCs w:val="20"/>
              </w:rPr>
              <w:t xml:space="preserve"> </w:t>
            </w:r>
            <w:r w:rsidR="0078737D" w:rsidRPr="008B430D">
              <w:rPr>
                <w:b/>
                <w:sz w:val="20"/>
                <w:szCs w:val="20"/>
              </w:rPr>
              <w:t xml:space="preserve">prostorom 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000000" w:fill="DEEAF6"/>
            <w:vAlign w:val="center"/>
          </w:tcPr>
          <w:p w:rsidR="006D7821" w:rsidRPr="000D39CB" w:rsidRDefault="00E66A7E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3.2</w:t>
            </w:r>
            <w:r w:rsidR="006D782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.1. </w:t>
            </w:r>
            <w:proofErr w:type="spellStart"/>
            <w:r w:rsidR="006D782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6D7821" w:rsidRPr="000D39CB" w:rsidRDefault="00E66A7E" w:rsidP="0078737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3.2</w:t>
            </w:r>
            <w:r w:rsidR="006D7821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 xml:space="preserve">.1. </w:t>
            </w:r>
            <w:r w:rsidR="0078737D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Osiguranje i doprinos energijskoj</w:t>
            </w:r>
            <w:r w:rsidR="006D7821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 xml:space="preserve"> efikasnost i energetsk</w:t>
            </w:r>
            <w:r w:rsidR="0078737D"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  <w:t>oj tranziciji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7821" w:rsidRPr="00844AD2" w:rsidRDefault="00E66A7E" w:rsidP="00AB68A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.1.1. Povećanje energijske efikasnosti javnih objekata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200.000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Pr="00844AD2" w:rsidRDefault="00E66A7E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.1.2.</w:t>
            </w:r>
            <w:r w:rsidR="006D7821">
              <w:t xml:space="preserve"> </w:t>
            </w:r>
            <w:r w:rsidR="006D7821" w:rsidRPr="000F46E6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Utopljavanje i zamjena dotrajale stolarije na objektu Doma Zdravlja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F838D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60.000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Default="00E66A7E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.1.3. Povećanje energijske efikasnosti javne rasvjete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350.000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500.000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Default="00E66A7E" w:rsidP="007A1B2E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.1.4</w:t>
            </w:r>
            <w:r w:rsidR="006D7821" w:rsidRPr="006D7821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>. Ugradnja FN  panela na javnim objektima</w:t>
            </w:r>
            <w:r w:rsidR="006D7821">
              <w:rPr>
                <w:rFonts w:ascii="Calibri" w:eastAsia="Calibri" w:hAnsi="Calibri" w:cs="Calibri"/>
                <w:i/>
                <w:sz w:val="20"/>
                <w:szCs w:val="20"/>
                <w:lang w:val="pt-PT" w:eastAsia="zh-CN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30.000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Pr="00844AD2" w:rsidRDefault="00E66A7E" w:rsidP="00AB68A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.1.5. </w:t>
            </w:r>
            <w:r w:rsidR="006D7821" w:rsidRP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Izgradnja gradske solarne elektrane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500.000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Default="00E66A7E" w:rsidP="00AB68A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.1.6. Zagovaranje unaprijeđenja energetske infrastrukture (TS)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Default="00E66A7E" w:rsidP="00AB68A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.1.7</w:t>
            </w:r>
            <w:r w:rsidR="006D7821" w:rsidRP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 </w:t>
            </w:r>
            <w:r w:rsidR="00F765BA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Pilot projekat toplifikacije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20.000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Default="00E66A7E" w:rsidP="00AB68A9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.1.8</w:t>
            </w:r>
            <w:r w:rsidR="006D7821" w:rsidRP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. Podrška projektima energijske efikasnosti 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građana </w:t>
            </w:r>
            <w:r w:rsidR="006D7821" w:rsidRP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(kreiranje fonda za energijsku efikasnost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 i energetsku tranziciju-toplotne pumpe,kotlovi, fasade,</w:t>
            </w:r>
            <w:r w:rsidR="00A6794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 xml:space="preserve"> </w:t>
            </w:r>
            <w:r w:rsid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prezumeri</w:t>
            </w:r>
            <w:r w:rsidR="006D7821" w:rsidRPr="006D7821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950.000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1.000.000</w:t>
            </w:r>
          </w:p>
        </w:tc>
      </w:tr>
      <w:tr w:rsidR="006D7821" w:rsidRPr="000D39CB" w:rsidTr="00790290">
        <w:trPr>
          <w:trHeight w:val="283"/>
        </w:trPr>
        <w:tc>
          <w:tcPr>
            <w:tcW w:w="569" w:type="pct"/>
            <w:vMerge/>
            <w:vAlign w:val="center"/>
          </w:tcPr>
          <w:p w:rsidR="006D7821" w:rsidRPr="000D39CB" w:rsidRDefault="006D7821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PT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7821" w:rsidRDefault="00A659D2" w:rsidP="00A6794E">
            <w:pPr>
              <w:spacing w:before="40" w:after="4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t-PT" w:eastAsia="zh-C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3.2</w:t>
            </w:r>
            <w:r w:rsidR="006D7821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.1.9. </w:t>
            </w:r>
            <w:r w:rsidR="006D7821" w:rsidRPr="009B4A85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Instaliranje </w:t>
            </w:r>
            <w:r w:rsidR="006D7821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 xml:space="preserve">stalne </w:t>
            </w:r>
            <w:r w:rsidR="006D7821" w:rsidRPr="009B4A85">
              <w:rPr>
                <w:rFonts w:ascii="Calibri" w:eastAsia="Calibri" w:hAnsi="Calibri" w:cs="Calibri"/>
                <w:i/>
                <w:sz w:val="20"/>
                <w:szCs w:val="20"/>
                <w:lang w:eastAsia="zh-CN"/>
              </w:rPr>
              <w:t>mjerne stanice za praćenje parametara stanja zraka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6D7821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30.000</w:t>
            </w:r>
          </w:p>
        </w:tc>
      </w:tr>
      <w:tr w:rsidR="00AB68A9" w:rsidRPr="000D39CB" w:rsidTr="00790290">
        <w:trPr>
          <w:trHeight w:val="109"/>
        </w:trPr>
        <w:tc>
          <w:tcPr>
            <w:tcW w:w="569" w:type="pct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B68A9" w:rsidRPr="000D39CB" w:rsidRDefault="008B430D" w:rsidP="00AB68A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3.2.2</w:t>
            </w:r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="00AB68A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  <w:t>Mjera</w:t>
            </w:r>
            <w:proofErr w:type="spellEnd"/>
          </w:p>
        </w:tc>
        <w:tc>
          <w:tcPr>
            <w:tcW w:w="443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B68A9" w:rsidRPr="00E66A7E" w:rsidRDefault="00A659D2" w:rsidP="0078737D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3.2.2</w:t>
            </w:r>
            <w:r w:rsidR="00AB68A9" w:rsidRPr="00E66A7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="00AB68A9" w:rsidRPr="00E66A7E">
              <w:rPr>
                <w:b/>
              </w:rPr>
              <w:t xml:space="preserve"> </w:t>
            </w:r>
            <w:r w:rsidR="0078737D" w:rsidRPr="00D21B7D">
              <w:rPr>
                <w:b/>
                <w:sz w:val="20"/>
                <w:szCs w:val="20"/>
              </w:rPr>
              <w:t>Razvoj</w:t>
            </w:r>
            <w:r w:rsidR="005120A7" w:rsidRPr="00D21B7D">
              <w:rPr>
                <w:b/>
                <w:sz w:val="20"/>
                <w:szCs w:val="20"/>
              </w:rPr>
              <w:t xml:space="preserve"> prostorno planske dokumentacije usklađene sa zahtjevima u prostoru i zaštitom prirodnog kapitala</w:t>
            </w:r>
          </w:p>
        </w:tc>
      </w:tr>
      <w:tr w:rsidR="00AB68A9" w:rsidRPr="000D39CB" w:rsidTr="00790290">
        <w:trPr>
          <w:trHeight w:val="109"/>
        </w:trPr>
        <w:tc>
          <w:tcPr>
            <w:tcW w:w="569" w:type="pct"/>
            <w:vMerge/>
            <w:shd w:val="clear" w:color="auto" w:fill="D9E2F3" w:themeFill="accent5" w:themeFillTint="33"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9832D8" w:rsidRDefault="00A659D2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3.2.2</w:t>
            </w:r>
            <w:r w:rsidR="00241D7C"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.1</w:t>
            </w:r>
            <w:r w:rsidR="00241D7C" w:rsidRPr="00241D7C"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 xml:space="preserve">. </w:t>
            </w:r>
            <w:r w:rsidR="00241D7C" w:rsidRPr="00241D7C">
              <w:rPr>
                <w:rFonts w:ascii="Calibri" w:eastAsia="Calibri" w:hAnsi="Calibri" w:cs="Calibri"/>
                <w:b/>
                <w:i/>
                <w:sz w:val="20"/>
                <w:szCs w:val="20"/>
                <w:lang w:val="pt-PT"/>
              </w:rPr>
              <w:t>S.P.</w:t>
            </w:r>
            <w:r w:rsidR="00241D7C" w:rsidRPr="00241D7C"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 xml:space="preserve"> Urbanistički</w:t>
            </w:r>
            <w:r w:rsidR="00241D7C" w:rsidRPr="00241D7C">
              <w:t xml:space="preserve"> </w:t>
            </w:r>
            <w:r w:rsidR="00241D7C" w:rsidRPr="00241D7C"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plan užeg gradskog područja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120.000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AB68A9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120.000</w:t>
            </w:r>
          </w:p>
        </w:tc>
      </w:tr>
      <w:tr w:rsidR="00AB68A9" w:rsidRPr="000D39CB" w:rsidTr="00790290">
        <w:trPr>
          <w:trHeight w:val="109"/>
        </w:trPr>
        <w:tc>
          <w:tcPr>
            <w:tcW w:w="569" w:type="pct"/>
            <w:vMerge/>
            <w:shd w:val="clear" w:color="auto" w:fill="D9E2F3" w:themeFill="accent5" w:themeFillTint="33"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9832D8" w:rsidRDefault="00A659D2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3.2.2</w:t>
            </w:r>
            <w:r w:rsidR="00241D7C"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.2. Regulacioni plan područja trase brze ceste (Goražde-Hranjen)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AB68A9" w:rsidRPr="000D39CB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50.000</w:t>
            </w:r>
          </w:p>
        </w:tc>
      </w:tr>
      <w:tr w:rsidR="00AB68A9" w:rsidRPr="000D39CB" w:rsidTr="00790290">
        <w:trPr>
          <w:trHeight w:val="105"/>
        </w:trPr>
        <w:tc>
          <w:tcPr>
            <w:tcW w:w="569" w:type="pct"/>
            <w:vMerge/>
            <w:shd w:val="clear" w:color="auto" w:fill="D9E2F3" w:themeFill="accent5" w:themeFillTint="33"/>
            <w:vAlign w:val="center"/>
          </w:tcPr>
          <w:p w:rsidR="00AB68A9" w:rsidRPr="000D39CB" w:rsidRDefault="00AB68A9" w:rsidP="00AB68A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8A9" w:rsidRPr="00750ED5" w:rsidRDefault="00A659D2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3.2.2</w:t>
            </w:r>
            <w:r w:rsidR="00241D7C">
              <w:rPr>
                <w:rFonts w:ascii="Calibri" w:eastAsia="Calibri" w:hAnsi="Calibri" w:cs="Calibri"/>
                <w:i/>
                <w:sz w:val="20"/>
                <w:szCs w:val="20"/>
                <w:lang w:val="pt-PT"/>
              </w:rPr>
              <w:t>.3. Određivanje i uređenje novih zona individualne gradnje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AB68A9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95B3D7"/>
            <w:vAlign w:val="center"/>
          </w:tcPr>
          <w:p w:rsidR="00AB68A9" w:rsidRDefault="007A1B2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50.000</w:t>
            </w:r>
          </w:p>
        </w:tc>
      </w:tr>
      <w:tr w:rsidR="00AB68A9" w:rsidRPr="000D39CB" w:rsidTr="00790290">
        <w:trPr>
          <w:trHeight w:val="435"/>
        </w:trPr>
        <w:tc>
          <w:tcPr>
            <w:tcW w:w="3037" w:type="pct"/>
            <w:gridSpan w:val="3"/>
            <w:shd w:val="clear" w:color="auto" w:fill="92D050"/>
            <w:vAlign w:val="center"/>
          </w:tcPr>
          <w:p w:rsidR="00AB68A9" w:rsidRPr="009832D8" w:rsidRDefault="00AB68A9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BROJ PROJEKATA:     </w:t>
            </w:r>
            <w:r w:rsidR="009A074F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30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                              </w:t>
            </w:r>
            <w:r w:rsidRPr="009832D8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                                                              UKUPNO SREDSTAVA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B68A9" w:rsidRPr="009A1F55" w:rsidRDefault="009A074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3.710.000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:rsidR="00AB68A9" w:rsidRPr="009A1F55" w:rsidRDefault="009A074F" w:rsidP="00AB68A9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21.760.000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:rsidR="00AB68A9" w:rsidRPr="009A1F55" w:rsidRDefault="009A074F" w:rsidP="00AB68A9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25.470.000</w:t>
            </w:r>
          </w:p>
        </w:tc>
      </w:tr>
      <w:tr w:rsidR="00AB68A9" w:rsidRPr="000D39CB" w:rsidTr="00790290">
        <w:trPr>
          <w:trHeight w:val="400"/>
        </w:trPr>
        <w:tc>
          <w:tcPr>
            <w:tcW w:w="3037" w:type="pct"/>
            <w:gridSpan w:val="3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AB68A9" w:rsidRPr="009832D8" w:rsidRDefault="00AB68A9" w:rsidP="00AB68A9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BC0919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U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KUPNO 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:rsidR="00AB68A9" w:rsidRPr="00D26A10" w:rsidRDefault="00007EC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17.498</w:t>
            </w:r>
            <w:r w:rsidR="009A07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.500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:rsidR="00AB68A9" w:rsidRPr="00D26A10" w:rsidRDefault="009A074F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47.935.000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:rsidR="00AB68A9" w:rsidRPr="00D26A10" w:rsidRDefault="00007ECE" w:rsidP="00AB68A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65.433.5</w:t>
            </w:r>
            <w:r w:rsidR="009A07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4385" w:rsidRDefault="00DB4385"/>
    <w:p w:rsidR="0078737D" w:rsidRDefault="0078737D">
      <w:r>
        <w:t>Strateški cilj - 3</w:t>
      </w:r>
    </w:p>
    <w:p w:rsidR="0078737D" w:rsidRDefault="00CC73F4">
      <w:r>
        <w:t>Prioritet - 6</w:t>
      </w:r>
    </w:p>
    <w:p w:rsidR="0078737D" w:rsidRDefault="0078737D">
      <w:r>
        <w:t>Mjera - 13</w:t>
      </w:r>
    </w:p>
    <w:sectPr w:rsidR="0078737D" w:rsidSect="000D39C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2F" w:rsidRDefault="00465D2F" w:rsidP="00C17D6C">
      <w:pPr>
        <w:spacing w:after="0" w:line="240" w:lineRule="auto"/>
      </w:pPr>
      <w:r>
        <w:separator/>
      </w:r>
    </w:p>
  </w:endnote>
  <w:endnote w:type="continuationSeparator" w:id="0">
    <w:p w:rsidR="00465D2F" w:rsidRDefault="00465D2F" w:rsidP="00C1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F DinDisplay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2F" w:rsidRDefault="00465D2F" w:rsidP="00C17D6C">
      <w:pPr>
        <w:spacing w:after="0" w:line="240" w:lineRule="auto"/>
      </w:pPr>
      <w:r>
        <w:separator/>
      </w:r>
    </w:p>
  </w:footnote>
  <w:footnote w:type="continuationSeparator" w:id="0">
    <w:p w:rsidR="00465D2F" w:rsidRDefault="00465D2F" w:rsidP="00C1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D" w:rsidRDefault="001C222D" w:rsidP="00C17D6C">
    <w:pPr>
      <w:pStyle w:val="Header"/>
      <w:rPr>
        <w:b/>
        <w:i/>
        <w:sz w:val="28"/>
        <w:szCs w:val="28"/>
      </w:rPr>
    </w:pPr>
    <w:r w:rsidRPr="00FB2637">
      <w:rPr>
        <w:b/>
        <w:i/>
        <w:sz w:val="28"/>
        <w:szCs w:val="28"/>
      </w:rPr>
      <w:t>Osnovi implementacije Strateg</w:t>
    </w:r>
    <w:r>
      <w:rPr>
        <w:b/>
        <w:i/>
        <w:sz w:val="28"/>
        <w:szCs w:val="28"/>
      </w:rPr>
      <w:t>ije razvoja Grad Goražde 2024-2027.godina*</w:t>
    </w:r>
  </w:p>
  <w:p w:rsidR="001C222D" w:rsidRPr="00C570E2" w:rsidRDefault="001C222D" w:rsidP="00C17D6C">
    <w:pPr>
      <w:pStyle w:val="Header"/>
      <w:rPr>
        <w:b/>
        <w:i/>
        <w:sz w:val="20"/>
        <w:szCs w:val="20"/>
        <w:u w:val="single"/>
      </w:rPr>
    </w:pPr>
    <w:r w:rsidRPr="00C570E2">
      <w:rPr>
        <w:b/>
        <w:i/>
        <w:sz w:val="20"/>
        <w:szCs w:val="20"/>
        <w:u w:val="single"/>
      </w:rPr>
      <w:t>Osnov implementacije je alat koji postavlja osnove za izradu implementacionih dokumenata (Akcioni plan, trogodišnji i godišnji plan). U skladu sa metodologijom strategijom definisane mjere omogućavaju planiranje i implementaciju dodatnih ili revidiranje postojećih projekata.</w:t>
    </w:r>
  </w:p>
  <w:p w:rsidR="001C222D" w:rsidRDefault="001C2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6318F"/>
    <w:multiLevelType w:val="multilevel"/>
    <w:tmpl w:val="F0A21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91350DC"/>
    <w:multiLevelType w:val="multilevel"/>
    <w:tmpl w:val="2892B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AAF0425"/>
    <w:multiLevelType w:val="multilevel"/>
    <w:tmpl w:val="40D0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CB"/>
    <w:rsid w:val="00001A7F"/>
    <w:rsid w:val="00007ECE"/>
    <w:rsid w:val="00015979"/>
    <w:rsid w:val="000171A2"/>
    <w:rsid w:val="00026065"/>
    <w:rsid w:val="000266D4"/>
    <w:rsid w:val="000426BB"/>
    <w:rsid w:val="00046C89"/>
    <w:rsid w:val="000541E5"/>
    <w:rsid w:val="000564D9"/>
    <w:rsid w:val="00070DE0"/>
    <w:rsid w:val="00072CE8"/>
    <w:rsid w:val="00073318"/>
    <w:rsid w:val="000744DF"/>
    <w:rsid w:val="000768E8"/>
    <w:rsid w:val="00082FB1"/>
    <w:rsid w:val="000907C6"/>
    <w:rsid w:val="0009203C"/>
    <w:rsid w:val="00094721"/>
    <w:rsid w:val="000A2AEB"/>
    <w:rsid w:val="000A4FB9"/>
    <w:rsid w:val="000B0C2D"/>
    <w:rsid w:val="000B1388"/>
    <w:rsid w:val="000C01E5"/>
    <w:rsid w:val="000C338F"/>
    <w:rsid w:val="000C77BC"/>
    <w:rsid w:val="000D3412"/>
    <w:rsid w:val="000D39C9"/>
    <w:rsid w:val="000D39CB"/>
    <w:rsid w:val="000E6343"/>
    <w:rsid w:val="000F24F3"/>
    <w:rsid w:val="000F46E6"/>
    <w:rsid w:val="000F548A"/>
    <w:rsid w:val="00100624"/>
    <w:rsid w:val="001024B5"/>
    <w:rsid w:val="00103AED"/>
    <w:rsid w:val="00104074"/>
    <w:rsid w:val="00113287"/>
    <w:rsid w:val="00114F7D"/>
    <w:rsid w:val="001160E9"/>
    <w:rsid w:val="00125A3E"/>
    <w:rsid w:val="001354EA"/>
    <w:rsid w:val="00154CCD"/>
    <w:rsid w:val="00162DF4"/>
    <w:rsid w:val="00166FBD"/>
    <w:rsid w:val="00170CAA"/>
    <w:rsid w:val="00171DC8"/>
    <w:rsid w:val="00183814"/>
    <w:rsid w:val="001B1E2D"/>
    <w:rsid w:val="001B43E6"/>
    <w:rsid w:val="001B7A7C"/>
    <w:rsid w:val="001C222D"/>
    <w:rsid w:val="001D2705"/>
    <w:rsid w:val="001D452E"/>
    <w:rsid w:val="001D66AD"/>
    <w:rsid w:val="001D6C94"/>
    <w:rsid w:val="001D77F9"/>
    <w:rsid w:val="001E5C48"/>
    <w:rsid w:val="001F0501"/>
    <w:rsid w:val="001F0A78"/>
    <w:rsid w:val="00200222"/>
    <w:rsid w:val="002051C0"/>
    <w:rsid w:val="00220281"/>
    <w:rsid w:val="00230F75"/>
    <w:rsid w:val="00232CCD"/>
    <w:rsid w:val="00241D7C"/>
    <w:rsid w:val="00243C6A"/>
    <w:rsid w:val="00255BFD"/>
    <w:rsid w:val="00261628"/>
    <w:rsid w:val="002632E4"/>
    <w:rsid w:val="002663F5"/>
    <w:rsid w:val="002669C3"/>
    <w:rsid w:val="00266C1D"/>
    <w:rsid w:val="0027123E"/>
    <w:rsid w:val="00273B3D"/>
    <w:rsid w:val="00285126"/>
    <w:rsid w:val="002852E3"/>
    <w:rsid w:val="00291FEE"/>
    <w:rsid w:val="00294203"/>
    <w:rsid w:val="00295BB1"/>
    <w:rsid w:val="002A3F4F"/>
    <w:rsid w:val="002A6C1F"/>
    <w:rsid w:val="002B1163"/>
    <w:rsid w:val="002B3303"/>
    <w:rsid w:val="002D1EF3"/>
    <w:rsid w:val="002D2147"/>
    <w:rsid w:val="002D2407"/>
    <w:rsid w:val="002D6E3C"/>
    <w:rsid w:val="002E6F08"/>
    <w:rsid w:val="002F6E97"/>
    <w:rsid w:val="0030005B"/>
    <w:rsid w:val="0030042A"/>
    <w:rsid w:val="0030430A"/>
    <w:rsid w:val="00306EFC"/>
    <w:rsid w:val="0031610E"/>
    <w:rsid w:val="00316A4A"/>
    <w:rsid w:val="00324615"/>
    <w:rsid w:val="00330283"/>
    <w:rsid w:val="003439A8"/>
    <w:rsid w:val="00345677"/>
    <w:rsid w:val="00352487"/>
    <w:rsid w:val="003570C8"/>
    <w:rsid w:val="00360C85"/>
    <w:rsid w:val="00361707"/>
    <w:rsid w:val="00370DDE"/>
    <w:rsid w:val="00377152"/>
    <w:rsid w:val="003950EF"/>
    <w:rsid w:val="00395951"/>
    <w:rsid w:val="003A7288"/>
    <w:rsid w:val="003B09EF"/>
    <w:rsid w:val="003B30AC"/>
    <w:rsid w:val="003C094E"/>
    <w:rsid w:val="003C1AE6"/>
    <w:rsid w:val="003C5E8B"/>
    <w:rsid w:val="003C77CB"/>
    <w:rsid w:val="003D2411"/>
    <w:rsid w:val="003D2BF1"/>
    <w:rsid w:val="003E710E"/>
    <w:rsid w:val="003F047C"/>
    <w:rsid w:val="003F0AD6"/>
    <w:rsid w:val="00403FE2"/>
    <w:rsid w:val="004041A1"/>
    <w:rsid w:val="00415C06"/>
    <w:rsid w:val="004214BF"/>
    <w:rsid w:val="004253C6"/>
    <w:rsid w:val="00446DFF"/>
    <w:rsid w:val="004559CF"/>
    <w:rsid w:val="00465D2F"/>
    <w:rsid w:val="004728F8"/>
    <w:rsid w:val="004757BA"/>
    <w:rsid w:val="0047768C"/>
    <w:rsid w:val="00483A42"/>
    <w:rsid w:val="00486D5E"/>
    <w:rsid w:val="004939DF"/>
    <w:rsid w:val="004A0157"/>
    <w:rsid w:val="004B0B12"/>
    <w:rsid w:val="004B11D3"/>
    <w:rsid w:val="004B2BFC"/>
    <w:rsid w:val="004C0783"/>
    <w:rsid w:val="004C2C46"/>
    <w:rsid w:val="004D063D"/>
    <w:rsid w:val="004D07E4"/>
    <w:rsid w:val="004D278C"/>
    <w:rsid w:val="004E0AAD"/>
    <w:rsid w:val="004F0C0E"/>
    <w:rsid w:val="004F7726"/>
    <w:rsid w:val="00507334"/>
    <w:rsid w:val="00507F1A"/>
    <w:rsid w:val="005111E9"/>
    <w:rsid w:val="005120A7"/>
    <w:rsid w:val="0051369B"/>
    <w:rsid w:val="005143B6"/>
    <w:rsid w:val="005204C0"/>
    <w:rsid w:val="005207A7"/>
    <w:rsid w:val="00521478"/>
    <w:rsid w:val="00530A24"/>
    <w:rsid w:val="005343AF"/>
    <w:rsid w:val="00537CCE"/>
    <w:rsid w:val="00546EF5"/>
    <w:rsid w:val="00572BE7"/>
    <w:rsid w:val="00575D87"/>
    <w:rsid w:val="00576C67"/>
    <w:rsid w:val="00577CF4"/>
    <w:rsid w:val="005806D3"/>
    <w:rsid w:val="0058159E"/>
    <w:rsid w:val="00583C6E"/>
    <w:rsid w:val="0058451F"/>
    <w:rsid w:val="005849C4"/>
    <w:rsid w:val="00592708"/>
    <w:rsid w:val="005A02CA"/>
    <w:rsid w:val="005A0D5C"/>
    <w:rsid w:val="005A354B"/>
    <w:rsid w:val="005A3AD9"/>
    <w:rsid w:val="005A6C68"/>
    <w:rsid w:val="005C1CB0"/>
    <w:rsid w:val="005C3EC5"/>
    <w:rsid w:val="005C5557"/>
    <w:rsid w:val="005E088F"/>
    <w:rsid w:val="005E6C95"/>
    <w:rsid w:val="005F5B68"/>
    <w:rsid w:val="00600106"/>
    <w:rsid w:val="00606C0B"/>
    <w:rsid w:val="00613B3B"/>
    <w:rsid w:val="00632404"/>
    <w:rsid w:val="006640E2"/>
    <w:rsid w:val="00672864"/>
    <w:rsid w:val="00681F87"/>
    <w:rsid w:val="00685798"/>
    <w:rsid w:val="006B475A"/>
    <w:rsid w:val="006C23A6"/>
    <w:rsid w:val="006C273C"/>
    <w:rsid w:val="006D01FF"/>
    <w:rsid w:val="006D38E0"/>
    <w:rsid w:val="006D7821"/>
    <w:rsid w:val="006F2D7D"/>
    <w:rsid w:val="006F5BF1"/>
    <w:rsid w:val="00750ED5"/>
    <w:rsid w:val="0076579E"/>
    <w:rsid w:val="00772F92"/>
    <w:rsid w:val="00773395"/>
    <w:rsid w:val="00785E9C"/>
    <w:rsid w:val="00786B41"/>
    <w:rsid w:val="0078737D"/>
    <w:rsid w:val="00787A6B"/>
    <w:rsid w:val="00790290"/>
    <w:rsid w:val="00795305"/>
    <w:rsid w:val="007A1B2E"/>
    <w:rsid w:val="007A29EA"/>
    <w:rsid w:val="007E7563"/>
    <w:rsid w:val="007F3F11"/>
    <w:rsid w:val="00800A86"/>
    <w:rsid w:val="00801A2A"/>
    <w:rsid w:val="00804B81"/>
    <w:rsid w:val="008056DB"/>
    <w:rsid w:val="00812136"/>
    <w:rsid w:val="008143C5"/>
    <w:rsid w:val="00814AA8"/>
    <w:rsid w:val="00820289"/>
    <w:rsid w:val="00832D00"/>
    <w:rsid w:val="008425CF"/>
    <w:rsid w:val="00844AD2"/>
    <w:rsid w:val="0085133F"/>
    <w:rsid w:val="00854B54"/>
    <w:rsid w:val="00860D92"/>
    <w:rsid w:val="00860E80"/>
    <w:rsid w:val="0086200A"/>
    <w:rsid w:val="0087166D"/>
    <w:rsid w:val="00881583"/>
    <w:rsid w:val="00883D21"/>
    <w:rsid w:val="008933AE"/>
    <w:rsid w:val="00894D28"/>
    <w:rsid w:val="00895177"/>
    <w:rsid w:val="008A0F27"/>
    <w:rsid w:val="008A7341"/>
    <w:rsid w:val="008B430D"/>
    <w:rsid w:val="008B5657"/>
    <w:rsid w:val="008C2E72"/>
    <w:rsid w:val="008C37DC"/>
    <w:rsid w:val="008C6DA4"/>
    <w:rsid w:val="008E2857"/>
    <w:rsid w:val="008F329A"/>
    <w:rsid w:val="008F75F7"/>
    <w:rsid w:val="00910540"/>
    <w:rsid w:val="00916D90"/>
    <w:rsid w:val="009250A7"/>
    <w:rsid w:val="00925574"/>
    <w:rsid w:val="00927065"/>
    <w:rsid w:val="00927625"/>
    <w:rsid w:val="00936D22"/>
    <w:rsid w:val="0094303A"/>
    <w:rsid w:val="0094486C"/>
    <w:rsid w:val="00956C18"/>
    <w:rsid w:val="0097191A"/>
    <w:rsid w:val="0097291D"/>
    <w:rsid w:val="009807D6"/>
    <w:rsid w:val="009832D8"/>
    <w:rsid w:val="00987898"/>
    <w:rsid w:val="00993B79"/>
    <w:rsid w:val="00997BEB"/>
    <w:rsid w:val="009A074F"/>
    <w:rsid w:val="009A1F55"/>
    <w:rsid w:val="009A4B01"/>
    <w:rsid w:val="009A4D02"/>
    <w:rsid w:val="009B0399"/>
    <w:rsid w:val="009C363D"/>
    <w:rsid w:val="009C475F"/>
    <w:rsid w:val="009C7637"/>
    <w:rsid w:val="009F65C9"/>
    <w:rsid w:val="00A05380"/>
    <w:rsid w:val="00A0673E"/>
    <w:rsid w:val="00A1210D"/>
    <w:rsid w:val="00A12B13"/>
    <w:rsid w:val="00A133CF"/>
    <w:rsid w:val="00A16145"/>
    <w:rsid w:val="00A1639F"/>
    <w:rsid w:val="00A23763"/>
    <w:rsid w:val="00A25265"/>
    <w:rsid w:val="00A44587"/>
    <w:rsid w:val="00A44D70"/>
    <w:rsid w:val="00A459A1"/>
    <w:rsid w:val="00A4601E"/>
    <w:rsid w:val="00A47119"/>
    <w:rsid w:val="00A522A9"/>
    <w:rsid w:val="00A527F3"/>
    <w:rsid w:val="00A6100E"/>
    <w:rsid w:val="00A659D2"/>
    <w:rsid w:val="00A6794E"/>
    <w:rsid w:val="00A7043B"/>
    <w:rsid w:val="00A848D1"/>
    <w:rsid w:val="00A911E9"/>
    <w:rsid w:val="00AA21A4"/>
    <w:rsid w:val="00AA3571"/>
    <w:rsid w:val="00AB007E"/>
    <w:rsid w:val="00AB20AD"/>
    <w:rsid w:val="00AB4088"/>
    <w:rsid w:val="00AB68A9"/>
    <w:rsid w:val="00AC19C9"/>
    <w:rsid w:val="00AC3900"/>
    <w:rsid w:val="00AD00B5"/>
    <w:rsid w:val="00AD00F4"/>
    <w:rsid w:val="00AD03A0"/>
    <w:rsid w:val="00AD1383"/>
    <w:rsid w:val="00AD44FC"/>
    <w:rsid w:val="00AE157A"/>
    <w:rsid w:val="00AE4E62"/>
    <w:rsid w:val="00AF534D"/>
    <w:rsid w:val="00AF64FF"/>
    <w:rsid w:val="00B00DC2"/>
    <w:rsid w:val="00B142CB"/>
    <w:rsid w:val="00B21D1C"/>
    <w:rsid w:val="00B260BB"/>
    <w:rsid w:val="00B33A98"/>
    <w:rsid w:val="00B34F2D"/>
    <w:rsid w:val="00B36515"/>
    <w:rsid w:val="00B36D99"/>
    <w:rsid w:val="00B513B9"/>
    <w:rsid w:val="00B651F1"/>
    <w:rsid w:val="00B652A3"/>
    <w:rsid w:val="00B73ADD"/>
    <w:rsid w:val="00B751D9"/>
    <w:rsid w:val="00B810A8"/>
    <w:rsid w:val="00B82CB6"/>
    <w:rsid w:val="00B92DF4"/>
    <w:rsid w:val="00BA1AD6"/>
    <w:rsid w:val="00BA5E07"/>
    <w:rsid w:val="00BB1E1E"/>
    <w:rsid w:val="00BB3D7E"/>
    <w:rsid w:val="00BC0919"/>
    <w:rsid w:val="00BC3DD8"/>
    <w:rsid w:val="00BD559D"/>
    <w:rsid w:val="00BD5847"/>
    <w:rsid w:val="00BE2C97"/>
    <w:rsid w:val="00BE69FB"/>
    <w:rsid w:val="00BE7E59"/>
    <w:rsid w:val="00C010A1"/>
    <w:rsid w:val="00C03CBC"/>
    <w:rsid w:val="00C06C5E"/>
    <w:rsid w:val="00C13AF9"/>
    <w:rsid w:val="00C17D6C"/>
    <w:rsid w:val="00C21545"/>
    <w:rsid w:val="00C24C8F"/>
    <w:rsid w:val="00C26356"/>
    <w:rsid w:val="00C47F30"/>
    <w:rsid w:val="00C50480"/>
    <w:rsid w:val="00C570E2"/>
    <w:rsid w:val="00C61294"/>
    <w:rsid w:val="00C6217A"/>
    <w:rsid w:val="00C657D7"/>
    <w:rsid w:val="00C67DFF"/>
    <w:rsid w:val="00C817C6"/>
    <w:rsid w:val="00C85F3B"/>
    <w:rsid w:val="00C95703"/>
    <w:rsid w:val="00C962FB"/>
    <w:rsid w:val="00CB0786"/>
    <w:rsid w:val="00CB77B5"/>
    <w:rsid w:val="00CC40A3"/>
    <w:rsid w:val="00CC73F4"/>
    <w:rsid w:val="00CC7C2F"/>
    <w:rsid w:val="00CD0BB9"/>
    <w:rsid w:val="00CD78D1"/>
    <w:rsid w:val="00CE4774"/>
    <w:rsid w:val="00CF4910"/>
    <w:rsid w:val="00CF6C5B"/>
    <w:rsid w:val="00D000B7"/>
    <w:rsid w:val="00D01A52"/>
    <w:rsid w:val="00D061FF"/>
    <w:rsid w:val="00D063DA"/>
    <w:rsid w:val="00D11AE1"/>
    <w:rsid w:val="00D12E77"/>
    <w:rsid w:val="00D13091"/>
    <w:rsid w:val="00D13E20"/>
    <w:rsid w:val="00D21B7D"/>
    <w:rsid w:val="00D243CA"/>
    <w:rsid w:val="00D26A10"/>
    <w:rsid w:val="00D3444D"/>
    <w:rsid w:val="00D4651B"/>
    <w:rsid w:val="00D47222"/>
    <w:rsid w:val="00D47916"/>
    <w:rsid w:val="00D50982"/>
    <w:rsid w:val="00D5386B"/>
    <w:rsid w:val="00D557D3"/>
    <w:rsid w:val="00D66490"/>
    <w:rsid w:val="00D66546"/>
    <w:rsid w:val="00D72A77"/>
    <w:rsid w:val="00D73755"/>
    <w:rsid w:val="00D80ADC"/>
    <w:rsid w:val="00D81261"/>
    <w:rsid w:val="00D839EC"/>
    <w:rsid w:val="00D8436B"/>
    <w:rsid w:val="00D9083F"/>
    <w:rsid w:val="00D92DC9"/>
    <w:rsid w:val="00DA62F7"/>
    <w:rsid w:val="00DB4385"/>
    <w:rsid w:val="00DB633D"/>
    <w:rsid w:val="00DC1508"/>
    <w:rsid w:val="00DC23C3"/>
    <w:rsid w:val="00DC3490"/>
    <w:rsid w:val="00DC68D3"/>
    <w:rsid w:val="00DE2AE0"/>
    <w:rsid w:val="00DE62D1"/>
    <w:rsid w:val="00DF49D6"/>
    <w:rsid w:val="00E02446"/>
    <w:rsid w:val="00E068C4"/>
    <w:rsid w:val="00E14111"/>
    <w:rsid w:val="00E20D27"/>
    <w:rsid w:val="00E313D5"/>
    <w:rsid w:val="00E351E5"/>
    <w:rsid w:val="00E464E6"/>
    <w:rsid w:val="00E5171C"/>
    <w:rsid w:val="00E57A15"/>
    <w:rsid w:val="00E60EB8"/>
    <w:rsid w:val="00E66A7E"/>
    <w:rsid w:val="00E729AE"/>
    <w:rsid w:val="00E75076"/>
    <w:rsid w:val="00E759C6"/>
    <w:rsid w:val="00E76979"/>
    <w:rsid w:val="00E83CAC"/>
    <w:rsid w:val="00E901E9"/>
    <w:rsid w:val="00E90D94"/>
    <w:rsid w:val="00EA1311"/>
    <w:rsid w:val="00EA3201"/>
    <w:rsid w:val="00EB048A"/>
    <w:rsid w:val="00EC73BA"/>
    <w:rsid w:val="00ED539D"/>
    <w:rsid w:val="00ED66D1"/>
    <w:rsid w:val="00EF0E9C"/>
    <w:rsid w:val="00EF64EC"/>
    <w:rsid w:val="00F01F7A"/>
    <w:rsid w:val="00F10321"/>
    <w:rsid w:val="00F10DA3"/>
    <w:rsid w:val="00F10F04"/>
    <w:rsid w:val="00F153BA"/>
    <w:rsid w:val="00F158BC"/>
    <w:rsid w:val="00F17CDE"/>
    <w:rsid w:val="00F22A2F"/>
    <w:rsid w:val="00F27D60"/>
    <w:rsid w:val="00F27E26"/>
    <w:rsid w:val="00F3488E"/>
    <w:rsid w:val="00F5487B"/>
    <w:rsid w:val="00F6286B"/>
    <w:rsid w:val="00F718F7"/>
    <w:rsid w:val="00F73EFD"/>
    <w:rsid w:val="00F765BA"/>
    <w:rsid w:val="00F77476"/>
    <w:rsid w:val="00F81D03"/>
    <w:rsid w:val="00F838DE"/>
    <w:rsid w:val="00F94C12"/>
    <w:rsid w:val="00FA15E6"/>
    <w:rsid w:val="00FA3952"/>
    <w:rsid w:val="00FC000B"/>
    <w:rsid w:val="00FC4767"/>
    <w:rsid w:val="00FD12EC"/>
    <w:rsid w:val="00FD58FA"/>
    <w:rsid w:val="00FE682B"/>
    <w:rsid w:val="00FF1210"/>
    <w:rsid w:val="00FF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69D8-ACC7-41B3-BC70-1391E30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E9"/>
  </w:style>
  <w:style w:type="paragraph" w:styleId="Heading1">
    <w:name w:val="heading 1"/>
    <w:basedOn w:val="Normal"/>
    <w:next w:val="Normal"/>
    <w:link w:val="Heading1Char"/>
    <w:uiPriority w:val="9"/>
    <w:qFormat/>
    <w:rsid w:val="000D39CB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D39C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9C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9C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9CB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D39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9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9C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39CB"/>
  </w:style>
  <w:style w:type="paragraph" w:styleId="ListParagraph">
    <w:name w:val="List Paragraph"/>
    <w:basedOn w:val="Normal"/>
    <w:uiPriority w:val="34"/>
    <w:qFormat/>
    <w:rsid w:val="000D39CB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0D39CB"/>
    <w:pPr>
      <w:spacing w:after="0" w:line="240" w:lineRule="auto"/>
    </w:pPr>
    <w:rPr>
      <w:rFonts w:ascii="Calibri" w:eastAsia="Calibri" w:hAnsi="Calibri" w:cs="Arial"/>
      <w:sz w:val="20"/>
      <w:szCs w:val="20"/>
      <w:lang w:eastAsia="bs-Latn-BA"/>
    </w:rPr>
  </w:style>
  <w:style w:type="character" w:customStyle="1" w:styleId="FootnoteTextChar">
    <w:name w:val="Footnote Text Char"/>
    <w:basedOn w:val="DefaultParagraphFont"/>
    <w:link w:val="FootnoteText"/>
    <w:rsid w:val="000D39CB"/>
    <w:rPr>
      <w:rFonts w:ascii="Calibri" w:eastAsia="Calibri" w:hAnsi="Calibri" w:cs="Arial"/>
      <w:sz w:val="20"/>
      <w:szCs w:val="20"/>
      <w:lang w:eastAsia="bs-Latn-BA"/>
    </w:rPr>
  </w:style>
  <w:style w:type="character" w:styleId="FootnoteReference">
    <w:name w:val="footnote reference"/>
    <w:basedOn w:val="DefaultParagraphFont"/>
    <w:unhideWhenUsed/>
    <w:rsid w:val="000D39CB"/>
    <w:rPr>
      <w:vertAlign w:val="superscript"/>
    </w:rPr>
  </w:style>
  <w:style w:type="paragraph" w:styleId="NoSpacing">
    <w:name w:val="No Spacing"/>
    <w:link w:val="NoSpacingChar"/>
    <w:uiPriority w:val="1"/>
    <w:qFormat/>
    <w:rsid w:val="000D39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39CB"/>
    <w:rPr>
      <w:rFonts w:eastAsiaTheme="minorEastAsia"/>
      <w:lang w:val="en-US"/>
    </w:rPr>
  </w:style>
  <w:style w:type="paragraph" w:customStyle="1" w:styleId="Default">
    <w:name w:val="Default"/>
    <w:rsid w:val="000D39CB"/>
    <w:pPr>
      <w:autoSpaceDE w:val="0"/>
      <w:autoSpaceDN w:val="0"/>
      <w:adjustRightInd w:val="0"/>
      <w:spacing w:after="0" w:line="240" w:lineRule="auto"/>
      <w:jc w:val="both"/>
    </w:pPr>
    <w:rPr>
      <w:rFonts w:ascii="PF DinDisplay Pro" w:eastAsiaTheme="minorEastAsia" w:hAnsi="PF DinDisplay Pro" w:cs="PF DinDisplay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0D39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CB"/>
  </w:style>
  <w:style w:type="paragraph" w:styleId="Footer">
    <w:name w:val="footer"/>
    <w:basedOn w:val="Normal"/>
    <w:link w:val="FooterChar"/>
    <w:uiPriority w:val="99"/>
    <w:unhideWhenUsed/>
    <w:rsid w:val="000D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CB"/>
  </w:style>
  <w:style w:type="table" w:styleId="TableGrid">
    <w:name w:val="Table Grid"/>
    <w:basedOn w:val="TableNormal"/>
    <w:uiPriority w:val="39"/>
    <w:rsid w:val="000D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0D39CB"/>
  </w:style>
  <w:style w:type="paragraph" w:styleId="TOC1">
    <w:name w:val="toc 1"/>
    <w:basedOn w:val="Normal"/>
    <w:autoRedefine/>
    <w:uiPriority w:val="39"/>
    <w:unhideWhenUsed/>
    <w:qFormat/>
    <w:rsid w:val="000D39CB"/>
    <w:pPr>
      <w:widowControl w:val="0"/>
      <w:spacing w:before="98" w:after="0" w:line="240" w:lineRule="auto"/>
      <w:ind w:left="423" w:hanging="284"/>
    </w:pPr>
    <w:rPr>
      <w:rFonts w:ascii="Calibri Light" w:eastAsia="Calibri Light" w:hAnsi="Calibri Light" w:cs="Times New Roman"/>
      <w:lang w:val="en-US"/>
    </w:rPr>
  </w:style>
  <w:style w:type="paragraph" w:styleId="TOC2">
    <w:name w:val="toc 2"/>
    <w:basedOn w:val="Normal"/>
    <w:autoRedefine/>
    <w:uiPriority w:val="39"/>
    <w:unhideWhenUsed/>
    <w:qFormat/>
    <w:rsid w:val="000D39CB"/>
    <w:pPr>
      <w:widowControl w:val="0"/>
      <w:spacing w:before="101" w:after="0" w:line="240" w:lineRule="auto"/>
      <w:ind w:left="992" w:hanging="569"/>
    </w:pPr>
    <w:rPr>
      <w:rFonts w:ascii="Calibri Light" w:eastAsia="Calibri Light" w:hAnsi="Calibri Light" w:cs="Times New Roman"/>
      <w:lang w:val="en-US"/>
    </w:rPr>
  </w:style>
  <w:style w:type="paragraph" w:styleId="TOC3">
    <w:name w:val="toc 3"/>
    <w:basedOn w:val="Normal"/>
    <w:autoRedefine/>
    <w:uiPriority w:val="39"/>
    <w:unhideWhenUsed/>
    <w:qFormat/>
    <w:rsid w:val="000D39CB"/>
    <w:pPr>
      <w:widowControl w:val="0"/>
      <w:spacing w:before="98" w:after="0" w:line="240" w:lineRule="auto"/>
      <w:ind w:left="1700" w:hanging="708"/>
    </w:pPr>
    <w:rPr>
      <w:rFonts w:ascii="Calibri Light" w:eastAsia="Calibri Light" w:hAnsi="Calibri Light" w:cs="Times New Roman"/>
      <w:lang w:val="en-US"/>
    </w:rPr>
  </w:style>
  <w:style w:type="paragraph" w:styleId="TOC4">
    <w:name w:val="toc 4"/>
    <w:basedOn w:val="Normal"/>
    <w:autoRedefine/>
    <w:uiPriority w:val="1"/>
    <w:semiHidden/>
    <w:unhideWhenUsed/>
    <w:qFormat/>
    <w:rsid w:val="000D39CB"/>
    <w:pPr>
      <w:widowControl w:val="0"/>
      <w:spacing w:after="0" w:line="240" w:lineRule="auto"/>
      <w:ind w:left="1700"/>
    </w:pPr>
    <w:rPr>
      <w:rFonts w:ascii="Calibri Light" w:eastAsia="Calibri Light" w:hAnsi="Calibri Light" w:cs="Times New Roman"/>
      <w:lang w:val="en-US"/>
    </w:rPr>
  </w:style>
  <w:style w:type="paragraph" w:styleId="BodyText">
    <w:name w:val="Body Text"/>
    <w:basedOn w:val="Normal"/>
    <w:link w:val="BodyTextChar"/>
    <w:unhideWhenUsed/>
    <w:qFormat/>
    <w:rsid w:val="000D39CB"/>
    <w:pPr>
      <w:spacing w:after="0" w:line="240" w:lineRule="auto"/>
      <w:jc w:val="both"/>
    </w:pPr>
    <w:rPr>
      <w:rFonts w:ascii="Calibri" w:eastAsia="Calibri" w:hAnsi="Calibri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0D39CB"/>
    <w:rPr>
      <w:rFonts w:ascii="Calibri" w:eastAsia="Calibri" w:hAnsi="Calibri" w:cs="Times New Roman"/>
      <w:szCs w:val="24"/>
      <w:lang w:val="hr-HR"/>
    </w:rPr>
  </w:style>
  <w:style w:type="character" w:customStyle="1" w:styleId="SlikaChar">
    <w:name w:val="Slika Char"/>
    <w:link w:val="Slika"/>
    <w:uiPriority w:val="1"/>
    <w:locked/>
    <w:rsid w:val="000D39CB"/>
    <w:rPr>
      <w:rFonts w:ascii="Calibri" w:eastAsia="Calibri" w:hAnsi="Calibri" w:cs="Times New Roman"/>
      <w:i/>
      <w:sz w:val="20"/>
      <w:szCs w:val="24"/>
    </w:rPr>
  </w:style>
  <w:style w:type="paragraph" w:customStyle="1" w:styleId="Slika">
    <w:name w:val="Slika"/>
    <w:basedOn w:val="Normal"/>
    <w:link w:val="SlikaChar"/>
    <w:uiPriority w:val="1"/>
    <w:qFormat/>
    <w:rsid w:val="000D39CB"/>
    <w:pPr>
      <w:widowControl w:val="0"/>
      <w:kinsoku w:val="0"/>
      <w:overflowPunct w:val="0"/>
      <w:autoSpaceDE w:val="0"/>
      <w:autoSpaceDN w:val="0"/>
      <w:adjustRightInd w:val="0"/>
      <w:spacing w:before="70" w:after="0" w:line="240" w:lineRule="auto"/>
      <w:jc w:val="center"/>
    </w:pPr>
    <w:rPr>
      <w:rFonts w:ascii="Calibri" w:eastAsia="Calibri" w:hAnsi="Calibri" w:cs="Times New Roman"/>
      <w:i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D39C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0D39CB"/>
    <w:rPr>
      <w:rFonts w:ascii="Calibri" w:eastAsia="Calibri" w:hAnsi="Calibri" w:cs="Arial" w:hint="default"/>
      <w:sz w:val="20"/>
      <w:szCs w:val="20"/>
      <w:lang w:val="bs-Latn-BA" w:eastAsia="bs-Latn-BA"/>
    </w:rPr>
  </w:style>
  <w:style w:type="table" w:customStyle="1" w:styleId="TableGrid1">
    <w:name w:val="Table Grid1"/>
    <w:basedOn w:val="TableNormal"/>
    <w:next w:val="TableGrid"/>
    <w:uiPriority w:val="3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51">
    <w:name w:val="Grid Table 1 Light - Accent 51"/>
    <w:basedOn w:val="TableNormal"/>
    <w:uiPriority w:val="46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1">
    <w:name w:val="Table Grid11"/>
    <w:basedOn w:val="TableNormal"/>
    <w:rsid w:val="000D3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1">
    <w:name w:val="Grid Table 4 - Accent 511"/>
    <w:basedOn w:val="TableNormal"/>
    <w:uiPriority w:val="4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 Grid2"/>
    <w:basedOn w:val="TableNormal"/>
    <w:uiPriority w:val="3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39CB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0D39CB"/>
  </w:style>
  <w:style w:type="table" w:customStyle="1" w:styleId="TableGrid3">
    <w:name w:val="Table Grid3"/>
    <w:basedOn w:val="TableNormal"/>
    <w:next w:val="TableGrid"/>
    <w:uiPriority w:val="39"/>
    <w:rsid w:val="000D3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2razine">
    <w:name w:val="Naslov 2 razine"/>
    <w:basedOn w:val="ListParagraph"/>
    <w:next w:val="Normal"/>
    <w:qFormat/>
    <w:rsid w:val="000D39CB"/>
    <w:pPr>
      <w:ind w:left="360" w:hanging="360"/>
      <w:outlineLvl w:val="1"/>
    </w:pPr>
    <w:rPr>
      <w:rFonts w:ascii="Calibri" w:eastAsia="Calibri" w:hAnsi="Calibri" w:cs="Times New Roman"/>
      <w:b/>
      <w:kern w:val="28"/>
      <w:sz w:val="32"/>
      <w:szCs w:val="28"/>
      <w:lang w:val="hr-HR"/>
    </w:rPr>
  </w:style>
  <w:style w:type="paragraph" w:styleId="Caption">
    <w:name w:val="caption"/>
    <w:basedOn w:val="Normal"/>
    <w:next w:val="Normal"/>
    <w:uiPriority w:val="35"/>
    <w:qFormat/>
    <w:rsid w:val="000D39C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rsid w:val="000D39CB"/>
  </w:style>
  <w:style w:type="paragraph" w:customStyle="1" w:styleId="tekstkalibri">
    <w:name w:val="tekst kalibri"/>
    <w:link w:val="tekstkalibriChar"/>
    <w:uiPriority w:val="1"/>
    <w:qFormat/>
    <w:rsid w:val="000D39CB"/>
    <w:pPr>
      <w:spacing w:after="0" w:line="240" w:lineRule="auto"/>
      <w:jc w:val="both"/>
    </w:pPr>
    <w:rPr>
      <w:rFonts w:eastAsia="Times New Roman" w:cs="Times New Roman"/>
      <w:szCs w:val="24"/>
      <w:lang w:val="hr-HR" w:eastAsia="hr-HR"/>
    </w:rPr>
  </w:style>
  <w:style w:type="character" w:customStyle="1" w:styleId="tekstkalibriChar">
    <w:name w:val="tekst kalibri Char"/>
    <w:link w:val="tekstkalibri"/>
    <w:uiPriority w:val="1"/>
    <w:rsid w:val="000D39CB"/>
    <w:rPr>
      <w:rFonts w:eastAsia="Times New Roman" w:cs="Times New Roman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0D39CB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3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CB"/>
    <w:pPr>
      <w:spacing w:after="200"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CB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CB"/>
    <w:rPr>
      <w:b/>
      <w:bCs/>
      <w:sz w:val="20"/>
      <w:szCs w:val="20"/>
      <w:lang w:val="hr-HR"/>
    </w:rPr>
  </w:style>
  <w:style w:type="table" w:customStyle="1" w:styleId="GridTable7Colorful-Accent11">
    <w:name w:val="Grid Table 7 Colorful - Accent 11"/>
    <w:basedOn w:val="TableNormal"/>
    <w:uiPriority w:val="52"/>
    <w:rsid w:val="000D39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0D39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TableNormal"/>
    <w:uiPriority w:val="46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7Colorful-Accent110">
    <w:name w:val="Grid Table 7 Colorful - Accent 11"/>
    <w:basedOn w:val="TableNormal"/>
    <w:uiPriority w:val="52"/>
    <w:rsid w:val="000D39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10">
    <w:name w:val="Grid Table 7 Colorful1"/>
    <w:basedOn w:val="TableNormal"/>
    <w:uiPriority w:val="52"/>
    <w:rsid w:val="000D39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0">
    <w:name w:val="Grid Table 21"/>
    <w:basedOn w:val="TableNormal"/>
    <w:uiPriority w:val="47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0">
    <w:name w:val="Grid Table 1 Light1"/>
    <w:basedOn w:val="TableNormal"/>
    <w:uiPriority w:val="46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0">
    <w:name w:val="Plain Table 21"/>
    <w:basedOn w:val="TableNormal"/>
    <w:uiPriority w:val="42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41">
    <w:name w:val="Grid Table 1 Light - Accent 41"/>
    <w:basedOn w:val="TableNormal"/>
    <w:uiPriority w:val="46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3">
    <w:name w:val="Grid Table 4 - Accent 513"/>
    <w:basedOn w:val="TableNormal"/>
    <w:uiPriority w:val="4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14">
    <w:name w:val="Grid Table 4 - Accent 514"/>
    <w:basedOn w:val="TableNormal"/>
    <w:uiPriority w:val="49"/>
    <w:rsid w:val="000D39CB"/>
    <w:pPr>
      <w:spacing w:after="0" w:line="240" w:lineRule="auto"/>
    </w:pPr>
    <w:rPr>
      <w:rFonts w:ascii="Calibri" w:eastAsia="Calibri" w:hAnsi="Calibri" w:cs="Times New Roman"/>
      <w:lang w:val="hr-BA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2-Accent11">
    <w:name w:val="Grid Table 2 - Accent 11"/>
    <w:basedOn w:val="TableNormal"/>
    <w:uiPriority w:val="47"/>
    <w:rsid w:val="000D3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D39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0D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72DE-C1B7-4CB4-9AC4-98061305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5</cp:revision>
  <cp:lastPrinted>2023-03-15T12:36:00Z</cp:lastPrinted>
  <dcterms:created xsi:type="dcterms:W3CDTF">2024-12-27T07:56:00Z</dcterms:created>
  <dcterms:modified xsi:type="dcterms:W3CDTF">2024-12-27T08:09:00Z</dcterms:modified>
</cp:coreProperties>
</file>